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34FF" w14:textId="70B398F1" w:rsidR="00AC02F3" w:rsidRPr="00AA60C0" w:rsidRDefault="00AC02F3" w:rsidP="00647233">
      <w:pPr>
        <w:jc w:val="center"/>
        <w:rPr>
          <w:b/>
          <w:bCs/>
          <w:color w:val="000000" w:themeColor="text1"/>
          <w:sz w:val="32"/>
          <w:szCs w:val="32"/>
        </w:rPr>
      </w:pPr>
      <w:r w:rsidRPr="00AA60C0">
        <w:rPr>
          <w:b/>
          <w:bCs/>
          <w:color w:val="000000" w:themeColor="text1"/>
          <w:sz w:val="32"/>
          <w:szCs w:val="32"/>
        </w:rPr>
        <w:t>The Life and Teachings of Jesus Christ</w:t>
      </w:r>
    </w:p>
    <w:p w14:paraId="370B27C3" w14:textId="38018AD7" w:rsidR="006F1D8B" w:rsidRPr="00AA60C0" w:rsidRDefault="00AC02F3" w:rsidP="00647233">
      <w:pPr>
        <w:jc w:val="center"/>
        <w:rPr>
          <w:b/>
          <w:bCs/>
          <w:color w:val="000000" w:themeColor="text1"/>
          <w:sz w:val="24"/>
          <w:szCs w:val="24"/>
        </w:rPr>
      </w:pPr>
      <w:r w:rsidRPr="00AA60C0">
        <w:rPr>
          <w:b/>
          <w:bCs/>
          <w:color w:val="000000" w:themeColor="text1"/>
          <w:sz w:val="24"/>
          <w:szCs w:val="24"/>
        </w:rPr>
        <w:t>(</w:t>
      </w:r>
      <w:r w:rsidR="00647233" w:rsidRPr="00AA60C0">
        <w:rPr>
          <w:b/>
          <w:bCs/>
          <w:color w:val="000000" w:themeColor="text1"/>
          <w:sz w:val="24"/>
          <w:szCs w:val="24"/>
        </w:rPr>
        <w:t>B</w:t>
      </w:r>
      <w:r w:rsidRPr="00AA60C0">
        <w:rPr>
          <w:b/>
          <w:bCs/>
          <w:color w:val="000000" w:themeColor="text1"/>
          <w:sz w:val="24"/>
          <w:szCs w:val="24"/>
        </w:rPr>
        <w:t>IBL</w:t>
      </w:r>
      <w:r w:rsidR="00647233" w:rsidRPr="00AA60C0">
        <w:rPr>
          <w:b/>
          <w:bCs/>
          <w:color w:val="000000" w:themeColor="text1"/>
          <w:sz w:val="24"/>
          <w:szCs w:val="24"/>
        </w:rPr>
        <w:t xml:space="preserve"> 1212 – The Life of Christ: Matthew</w:t>
      </w:r>
      <w:r w:rsidRPr="00AA60C0">
        <w:rPr>
          <w:b/>
          <w:bCs/>
          <w:color w:val="000000" w:themeColor="text1"/>
          <w:sz w:val="24"/>
          <w:szCs w:val="24"/>
        </w:rPr>
        <w:t>)</w:t>
      </w:r>
    </w:p>
    <w:p w14:paraId="7B084DA2" w14:textId="2484C4D1" w:rsidR="00647233" w:rsidRPr="00AA60C0" w:rsidRDefault="00647233" w:rsidP="00647233">
      <w:pPr>
        <w:jc w:val="center"/>
        <w:rPr>
          <w:b/>
          <w:bCs/>
          <w:color w:val="000000" w:themeColor="text1"/>
        </w:rPr>
      </w:pPr>
      <w:r w:rsidRPr="00AA60C0">
        <w:rPr>
          <w:b/>
          <w:bCs/>
          <w:color w:val="000000" w:themeColor="text1"/>
        </w:rPr>
        <w:t>Fall Term 2021 (Sept 13-Nov 15)</w:t>
      </w:r>
    </w:p>
    <w:p w14:paraId="147F5713" w14:textId="164C78C2" w:rsidR="00AC02F3" w:rsidRDefault="00AC02F3" w:rsidP="00647233">
      <w:pPr>
        <w:jc w:val="center"/>
        <w:rPr>
          <w:b/>
          <w:bCs/>
          <w:color w:val="000000" w:themeColor="text1"/>
        </w:rPr>
      </w:pPr>
      <w:r w:rsidRPr="00AA60C0">
        <w:rPr>
          <w:b/>
          <w:bCs/>
          <w:color w:val="000000" w:themeColor="text1"/>
        </w:rPr>
        <w:t>Monday</w:t>
      </w:r>
      <w:r w:rsidR="00C02D22" w:rsidRPr="00AA60C0">
        <w:rPr>
          <w:b/>
          <w:bCs/>
          <w:color w:val="000000" w:themeColor="text1"/>
        </w:rPr>
        <w:t>s</w:t>
      </w:r>
      <w:r w:rsidRPr="00AA60C0">
        <w:rPr>
          <w:b/>
          <w:bCs/>
          <w:color w:val="000000" w:themeColor="text1"/>
        </w:rPr>
        <w:t xml:space="preserve"> 1-4:30pm</w:t>
      </w:r>
    </w:p>
    <w:p w14:paraId="0EE6D887" w14:textId="77777777" w:rsidR="00A44BC3" w:rsidRDefault="00A44BC3" w:rsidP="00647233">
      <w:pPr>
        <w:jc w:val="center"/>
        <w:rPr>
          <w:b/>
          <w:bCs/>
        </w:rPr>
      </w:pPr>
    </w:p>
    <w:p w14:paraId="17EFBB67" w14:textId="3AFE5A57" w:rsidR="00647233" w:rsidRPr="00647233" w:rsidRDefault="00647233" w:rsidP="00647233">
      <w:pPr>
        <w:pStyle w:val="NoSpacing"/>
      </w:pPr>
      <w:r>
        <w:rPr>
          <w:b/>
          <w:bCs/>
        </w:rPr>
        <w:t xml:space="preserve">Instructor:  </w:t>
      </w:r>
      <w:r>
        <w:t>Mark McLean, Ed.D</w:t>
      </w:r>
      <w:r w:rsidR="007527BA">
        <w:t>.</w:t>
      </w:r>
      <w:r>
        <w:t xml:space="preserve">                                                                  </w:t>
      </w:r>
      <w:r w:rsidR="006520F0" w:rsidRPr="006520F0">
        <w:rPr>
          <w:b/>
          <w:bCs/>
        </w:rPr>
        <w:t>Phone</w:t>
      </w:r>
      <w:r w:rsidRPr="006520F0">
        <w:rPr>
          <w:b/>
          <w:bCs/>
        </w:rPr>
        <w:t>:</w:t>
      </w:r>
      <w:r>
        <w:rPr>
          <w:b/>
          <w:bCs/>
        </w:rPr>
        <w:t xml:space="preserve"> </w:t>
      </w:r>
      <w:r>
        <w:t>(360) 621-6385</w:t>
      </w:r>
    </w:p>
    <w:p w14:paraId="3CFD68BD" w14:textId="00A1604E" w:rsidR="00647233" w:rsidRPr="00647233" w:rsidRDefault="00647233" w:rsidP="00647233">
      <w:pPr>
        <w:pStyle w:val="NoSpacing"/>
      </w:pPr>
      <w:r w:rsidRPr="00647233">
        <w:rPr>
          <w:b/>
          <w:bCs/>
        </w:rPr>
        <w:t>Office Hours:</w:t>
      </w:r>
      <w:r>
        <w:t xml:space="preserve"> Mondays 4:45-5:30                                                              </w:t>
      </w:r>
      <w:r w:rsidR="00817684">
        <w:t xml:space="preserve"> </w:t>
      </w:r>
      <w:r>
        <w:t xml:space="preserve"> </w:t>
      </w:r>
      <w:r>
        <w:rPr>
          <w:b/>
          <w:bCs/>
        </w:rPr>
        <w:t xml:space="preserve">Email: </w:t>
      </w:r>
      <w:r>
        <w:t>markmclean640@gmail.com</w:t>
      </w:r>
    </w:p>
    <w:p w14:paraId="1F9370B4" w14:textId="1E162B8E" w:rsidR="00647233" w:rsidRDefault="00647233" w:rsidP="00647233">
      <w:pPr>
        <w:pStyle w:val="NoSpacing"/>
      </w:pPr>
      <w:r>
        <w:t xml:space="preserve">          By appointment</w:t>
      </w:r>
    </w:p>
    <w:p w14:paraId="5391B915" w14:textId="187633F2" w:rsidR="00647233" w:rsidRDefault="00647233" w:rsidP="00647233">
      <w:pPr>
        <w:pStyle w:val="NoSpacing"/>
      </w:pPr>
    </w:p>
    <w:p w14:paraId="09B3922D" w14:textId="4A7B5684" w:rsidR="00647233" w:rsidRDefault="00647233" w:rsidP="00647233">
      <w:pPr>
        <w:pStyle w:val="NoSpacing"/>
        <w:rPr>
          <w:b/>
          <w:bCs/>
        </w:rPr>
      </w:pPr>
      <w:r>
        <w:rPr>
          <w:b/>
          <w:bCs/>
        </w:rPr>
        <w:t>Course Description</w:t>
      </w:r>
      <w:r w:rsidR="00A67975">
        <w:rPr>
          <w:b/>
          <w:bCs/>
        </w:rPr>
        <w:t>:</w:t>
      </w:r>
    </w:p>
    <w:p w14:paraId="689161B1" w14:textId="77777777" w:rsidR="00791D19" w:rsidRDefault="00791D19" w:rsidP="00647233">
      <w:pPr>
        <w:pStyle w:val="NoSpacing"/>
        <w:rPr>
          <w:b/>
          <w:bCs/>
        </w:rPr>
      </w:pPr>
    </w:p>
    <w:p w14:paraId="20B664D5" w14:textId="72D06552" w:rsidR="00647233" w:rsidRDefault="00647233" w:rsidP="00647233">
      <w:pPr>
        <w:pStyle w:val="NoSpacing"/>
      </w:pPr>
      <w:r>
        <w:t xml:space="preserve">This course is a study of the life and teachings of Jesus.  The Gospel of Matthew will be our primary source, although other canonical gospels will </w:t>
      </w:r>
      <w:r w:rsidR="003F0B22">
        <w:t xml:space="preserve">also </w:t>
      </w:r>
      <w:r>
        <w:t xml:space="preserve">be consulted.  Special attention </w:t>
      </w:r>
      <w:r w:rsidR="00817684">
        <w:t>is given to the deity of Jesus, his miracles, his teachings</w:t>
      </w:r>
      <w:r w:rsidR="00B50A04">
        <w:t xml:space="preserve">, and his death and resurrection.  </w:t>
      </w:r>
    </w:p>
    <w:p w14:paraId="7A13F1B9" w14:textId="6A2D36D2" w:rsidR="00B50A04" w:rsidRDefault="00B50A04" w:rsidP="00647233">
      <w:pPr>
        <w:pStyle w:val="NoSpacing"/>
      </w:pPr>
    </w:p>
    <w:p w14:paraId="639D16CA" w14:textId="78B2F55E" w:rsidR="00B50A04" w:rsidRDefault="00B50A04" w:rsidP="00647233">
      <w:pPr>
        <w:pStyle w:val="NoSpacing"/>
        <w:rPr>
          <w:b/>
          <w:bCs/>
        </w:rPr>
      </w:pPr>
      <w:r>
        <w:rPr>
          <w:b/>
          <w:bCs/>
        </w:rPr>
        <w:t>Course Objectives</w:t>
      </w:r>
      <w:r w:rsidR="00A67975">
        <w:rPr>
          <w:b/>
          <w:bCs/>
        </w:rPr>
        <w:t>:</w:t>
      </w:r>
    </w:p>
    <w:p w14:paraId="4FEC2632" w14:textId="77777777" w:rsidR="00791D19" w:rsidRDefault="00791D19" w:rsidP="00647233">
      <w:pPr>
        <w:pStyle w:val="NoSpacing"/>
        <w:rPr>
          <w:b/>
          <w:bCs/>
        </w:rPr>
      </w:pPr>
    </w:p>
    <w:p w14:paraId="78E80F2F" w14:textId="0FFC77DF" w:rsidR="00B50A04" w:rsidRDefault="0034008F" w:rsidP="0034008F">
      <w:pPr>
        <w:pStyle w:val="NoSpacing"/>
        <w:numPr>
          <w:ilvl w:val="0"/>
          <w:numId w:val="1"/>
        </w:numPr>
      </w:pPr>
      <w:r>
        <w:t xml:space="preserve">Information: Students will gain a foundational knowledge of the life and teachings of Jesus as revealed in the Gospel of Matthew.  </w:t>
      </w:r>
    </w:p>
    <w:p w14:paraId="638F6DDE" w14:textId="06B2E043" w:rsidR="0034008F" w:rsidRDefault="0034008F" w:rsidP="0034008F">
      <w:pPr>
        <w:pStyle w:val="NoSpacing"/>
        <w:numPr>
          <w:ilvl w:val="0"/>
          <w:numId w:val="1"/>
        </w:numPr>
      </w:pPr>
      <w:r>
        <w:t xml:space="preserve">Exploration: Students will critically evaluate a passage, concept, or word from the Gospel of Matthew through research from primary and secondary sources.  </w:t>
      </w:r>
    </w:p>
    <w:p w14:paraId="40DD5234" w14:textId="6B49E186" w:rsidR="00AC02F3" w:rsidRDefault="0034008F" w:rsidP="00AC02F3">
      <w:pPr>
        <w:pStyle w:val="NoSpacing"/>
        <w:numPr>
          <w:ilvl w:val="0"/>
          <w:numId w:val="1"/>
        </w:numPr>
      </w:pPr>
      <w:r>
        <w:t>Transformation: Students will learn to apply the teachings of Jesus to a life of discipleship and living the ways of Jesus</w:t>
      </w:r>
      <w:r w:rsidR="00AC02F3">
        <w:t>.</w:t>
      </w:r>
    </w:p>
    <w:p w14:paraId="188C6D3F" w14:textId="5E47CB73" w:rsidR="0034008F" w:rsidRDefault="0034008F" w:rsidP="0034008F">
      <w:pPr>
        <w:pStyle w:val="NoSpacing"/>
      </w:pPr>
    </w:p>
    <w:p w14:paraId="0354D226" w14:textId="047C1B2D" w:rsidR="0034008F" w:rsidRDefault="0034008F" w:rsidP="0034008F">
      <w:pPr>
        <w:pStyle w:val="NoSpacing"/>
        <w:rPr>
          <w:b/>
          <w:bCs/>
        </w:rPr>
      </w:pPr>
      <w:r>
        <w:rPr>
          <w:b/>
          <w:bCs/>
        </w:rPr>
        <w:t>Required Texts</w:t>
      </w:r>
      <w:r w:rsidR="00A67975">
        <w:rPr>
          <w:b/>
          <w:bCs/>
        </w:rPr>
        <w:t>:</w:t>
      </w:r>
    </w:p>
    <w:p w14:paraId="3C94109A" w14:textId="086946EC" w:rsidR="0034008F" w:rsidRDefault="00B908EB" w:rsidP="0034008F">
      <w:pPr>
        <w:pStyle w:val="NoSpacing"/>
        <w:rPr>
          <w:b/>
          <w:bCs/>
        </w:rPr>
      </w:pPr>
      <w:r>
        <w:rPr>
          <w:b/>
          <w:bCs/>
        </w:rPr>
        <w:t xml:space="preserve"> </w:t>
      </w:r>
    </w:p>
    <w:p w14:paraId="49D27A57" w14:textId="3AF938E5" w:rsidR="00B908EB" w:rsidRDefault="00B908EB" w:rsidP="00AC02F3">
      <w:pPr>
        <w:pStyle w:val="NoSpacing"/>
        <w:numPr>
          <w:ilvl w:val="0"/>
          <w:numId w:val="5"/>
        </w:numPr>
      </w:pPr>
      <w:r>
        <w:t xml:space="preserve">Yancy, Philip. </w:t>
      </w:r>
      <w:r>
        <w:rPr>
          <w:u w:val="single"/>
        </w:rPr>
        <w:t>The Jesus I Never Knew</w:t>
      </w:r>
      <w:r>
        <w:t xml:space="preserve">, </w:t>
      </w:r>
      <w:r w:rsidR="00CF55EC">
        <w:t xml:space="preserve">New Edition. </w:t>
      </w:r>
      <w:r>
        <w:t xml:space="preserve">Grand Rapids: Zondervan, </w:t>
      </w:r>
      <w:r w:rsidR="00CF55EC">
        <w:t>2002</w:t>
      </w:r>
      <w:r>
        <w:t xml:space="preserve">. </w:t>
      </w:r>
      <w:r w:rsidRPr="00900EC4">
        <w:rPr>
          <w:b/>
          <w:bCs/>
        </w:rPr>
        <w:t>ISBN</w:t>
      </w:r>
      <w:r w:rsidRPr="00900EC4">
        <w:t>:</w:t>
      </w:r>
      <w:r>
        <w:t xml:space="preserve"> </w:t>
      </w:r>
      <w:r w:rsidR="00CF55EC" w:rsidRPr="00CF55EC">
        <w:t>9780310219231</w:t>
      </w:r>
      <w:r w:rsidR="00CF55EC">
        <w:t xml:space="preserve">.  </w:t>
      </w:r>
    </w:p>
    <w:p w14:paraId="1396BF95" w14:textId="194070E7" w:rsidR="00900EC4" w:rsidRDefault="00900EC4" w:rsidP="0034008F">
      <w:pPr>
        <w:pStyle w:val="NoSpacing"/>
      </w:pPr>
    </w:p>
    <w:p w14:paraId="5838031E" w14:textId="0EBFACA5" w:rsidR="00900EC4" w:rsidRDefault="00900EC4" w:rsidP="00AC02F3">
      <w:pPr>
        <w:pStyle w:val="NoSpacing"/>
        <w:numPr>
          <w:ilvl w:val="0"/>
          <w:numId w:val="5"/>
        </w:numPr>
      </w:pPr>
      <w:r w:rsidRPr="00900EC4">
        <w:rPr>
          <w:u w:val="single"/>
        </w:rPr>
        <w:t>ESV Study Bible</w:t>
      </w:r>
      <w:r>
        <w:t xml:space="preserve">, Crossway, 2008.  </w:t>
      </w:r>
      <w:r>
        <w:rPr>
          <w:b/>
          <w:bCs/>
        </w:rPr>
        <w:t xml:space="preserve">ISBN: </w:t>
      </w:r>
      <w:r>
        <w:t>978-1-4335-0241-5</w:t>
      </w:r>
    </w:p>
    <w:p w14:paraId="3480D94A" w14:textId="77777777" w:rsidR="00D168AA" w:rsidRDefault="00D168AA" w:rsidP="0034008F">
      <w:pPr>
        <w:pStyle w:val="NoSpacing"/>
      </w:pPr>
    </w:p>
    <w:p w14:paraId="32B6F63B" w14:textId="301108E8" w:rsidR="00167545" w:rsidRDefault="00167545" w:rsidP="0034008F">
      <w:pPr>
        <w:pStyle w:val="NoSpacing"/>
      </w:pPr>
    </w:p>
    <w:p w14:paraId="2A175B55" w14:textId="16BBEA2B" w:rsidR="00504B17" w:rsidRDefault="00881E9C" w:rsidP="0034008F">
      <w:pPr>
        <w:pStyle w:val="NoSpacing"/>
        <w:rPr>
          <w:b/>
          <w:bCs/>
          <w:u w:val="single"/>
        </w:rPr>
      </w:pPr>
      <w:r w:rsidRPr="008D2E8B">
        <w:rPr>
          <w:b/>
          <w:bCs/>
          <w:u w:val="single"/>
        </w:rPr>
        <w:t>Course Requirements</w:t>
      </w:r>
    </w:p>
    <w:p w14:paraId="3148E1BA" w14:textId="54087702" w:rsidR="00AD2483" w:rsidRDefault="00AD2483" w:rsidP="0034008F">
      <w:pPr>
        <w:pStyle w:val="NoSpacing"/>
        <w:rPr>
          <w:b/>
          <w:bCs/>
          <w:u w:val="single"/>
        </w:rPr>
      </w:pPr>
    </w:p>
    <w:p w14:paraId="63CA6AC8" w14:textId="71ADFA30" w:rsidR="00AD2483" w:rsidRPr="00FC039B" w:rsidRDefault="00FC039B" w:rsidP="00FC039B">
      <w:pPr>
        <w:pStyle w:val="NoSpacing"/>
        <w:numPr>
          <w:ilvl w:val="0"/>
          <w:numId w:val="2"/>
        </w:numPr>
        <w:rPr>
          <w:b/>
          <w:bCs/>
          <w:u w:val="single"/>
        </w:rPr>
      </w:pPr>
      <w:r>
        <w:rPr>
          <w:b/>
          <w:bCs/>
        </w:rPr>
        <w:t>Quizzes and Attendance</w:t>
      </w:r>
      <w:r w:rsidR="00602370">
        <w:rPr>
          <w:b/>
          <w:bCs/>
        </w:rPr>
        <w:t xml:space="preserve"> </w:t>
      </w:r>
      <w:r w:rsidR="00602370" w:rsidRPr="00F57151">
        <w:rPr>
          <w:b/>
          <w:bCs/>
        </w:rPr>
        <w:t>(</w:t>
      </w:r>
      <w:r w:rsidR="00F57151" w:rsidRPr="00F57151">
        <w:rPr>
          <w:b/>
          <w:bCs/>
        </w:rPr>
        <w:t>30%)</w:t>
      </w:r>
      <w:r w:rsidR="00626EAF">
        <w:rPr>
          <w:b/>
          <w:bCs/>
        </w:rPr>
        <w:t>:</w:t>
      </w:r>
    </w:p>
    <w:p w14:paraId="4331B24A" w14:textId="14705E94" w:rsidR="00D34496" w:rsidRDefault="00824E37" w:rsidP="00FC039B">
      <w:pPr>
        <w:pStyle w:val="NoSpacing"/>
      </w:pPr>
      <w:r>
        <w:rPr>
          <w:b/>
          <w:bCs/>
        </w:rPr>
        <w:t xml:space="preserve">     </w:t>
      </w:r>
      <w:r w:rsidR="00D34496">
        <w:rPr>
          <w:b/>
          <w:bCs/>
        </w:rPr>
        <w:t xml:space="preserve">  </w:t>
      </w:r>
      <w:r w:rsidR="008E1421">
        <w:t xml:space="preserve">Expect a quiz in </w:t>
      </w:r>
      <w:r w:rsidR="008E1421" w:rsidRPr="00257D2D">
        <w:rPr>
          <w:u w:val="single"/>
        </w:rPr>
        <w:t>each</w:t>
      </w:r>
      <w:r w:rsidR="008E1421">
        <w:t xml:space="preserve"> class meeting (other than exam days).  </w:t>
      </w:r>
      <w:r w:rsidR="00257D2D">
        <w:t xml:space="preserve">A quiz will be given over the reading of Matthew 1-5 and Yancy 1-2 at the beginning of the </w:t>
      </w:r>
      <w:r w:rsidR="00257D2D" w:rsidRPr="00257D2D">
        <w:rPr>
          <w:u w:val="single"/>
        </w:rPr>
        <w:t>first</w:t>
      </w:r>
      <w:r w:rsidR="00257D2D">
        <w:t xml:space="preserve"> class meeting, Sept. 13.  </w:t>
      </w:r>
      <w:r w:rsidR="008E1421">
        <w:t>Quizzes will cover information from the week’s reading assignments</w:t>
      </w:r>
      <w:r w:rsidR="008E1421" w:rsidRPr="000730BF">
        <w:rPr>
          <w:color w:val="FF0000"/>
        </w:rPr>
        <w:t xml:space="preserve">.  </w:t>
      </w:r>
      <w:r w:rsidR="0067563D">
        <w:t xml:space="preserve">If you are in class at the beginning of the quiz, you will receive 50% credit.  The quiz itself is worth the other 50% of your score for that day.  </w:t>
      </w:r>
      <w:r w:rsidR="00D34496">
        <w:t xml:space="preserve"> </w:t>
      </w:r>
      <w:r w:rsidR="00257D2D">
        <w:t xml:space="preserve">Quizzes may use true-false, multiple choice, matching, fill-in-the-blank, short answer, or paragraph essay questions.  </w:t>
      </w:r>
    </w:p>
    <w:p w14:paraId="625AB87E" w14:textId="52A29B6E" w:rsidR="00A65FD4" w:rsidRDefault="00A65FD4" w:rsidP="00FC039B">
      <w:pPr>
        <w:pStyle w:val="NoSpacing"/>
      </w:pPr>
      <w:r>
        <w:t xml:space="preserve">       A student is permitted one excused absence </w:t>
      </w:r>
      <w:r w:rsidR="00583587">
        <w:t xml:space="preserve">for the term.  </w:t>
      </w:r>
      <w:r>
        <w:t>Excused absences are for illness or family emergenc</w:t>
      </w:r>
      <w:r w:rsidR="006D27A8">
        <w:t>ies</w:t>
      </w:r>
      <w:r>
        <w:t xml:space="preserve"> and require </w:t>
      </w:r>
      <w:r w:rsidR="00B07A19">
        <w:t>securing approval</w:t>
      </w:r>
      <w:r w:rsidR="00726C52">
        <w:t xml:space="preserve"> from</w:t>
      </w:r>
      <w:r>
        <w:t xml:space="preserve"> the instructor PRIOR to the class missed.  </w:t>
      </w:r>
      <w:r w:rsidR="00E37938">
        <w:t xml:space="preserve"> Students with an excused absence receive 50% credit</w:t>
      </w:r>
      <w:r w:rsidR="00583587">
        <w:t xml:space="preserve"> of </w:t>
      </w:r>
      <w:r w:rsidR="00BC77AF">
        <w:t xml:space="preserve">their daily grade.  Quizzes will NOT be made up.  </w:t>
      </w:r>
    </w:p>
    <w:p w14:paraId="65FBAED7" w14:textId="038D5F3B" w:rsidR="00DA090D" w:rsidRPr="008E1421" w:rsidRDefault="00DA090D" w:rsidP="00FC039B">
      <w:pPr>
        <w:pStyle w:val="NoSpacing"/>
      </w:pPr>
      <w:r>
        <w:t xml:space="preserve">        Unexcused absences receive </w:t>
      </w:r>
      <w:r w:rsidR="00E46659">
        <w:t xml:space="preserve">zero credit for their daily grade.  </w:t>
      </w:r>
    </w:p>
    <w:p w14:paraId="1A358DC5" w14:textId="138C7B43" w:rsidR="00FC039B" w:rsidRDefault="00FC039B" w:rsidP="00FC039B">
      <w:pPr>
        <w:pStyle w:val="NoSpacing"/>
        <w:rPr>
          <w:b/>
          <w:bCs/>
        </w:rPr>
      </w:pPr>
    </w:p>
    <w:p w14:paraId="0F6171C4" w14:textId="30365F76" w:rsidR="00FC039B" w:rsidRPr="00BF5C17" w:rsidRDefault="00BF5C17" w:rsidP="00AA60C0">
      <w:pPr>
        <w:pStyle w:val="NoSpacing"/>
        <w:numPr>
          <w:ilvl w:val="0"/>
          <w:numId w:val="2"/>
        </w:numPr>
        <w:rPr>
          <w:b/>
          <w:bCs/>
          <w:u w:val="single"/>
        </w:rPr>
      </w:pPr>
      <w:r>
        <w:rPr>
          <w:b/>
          <w:bCs/>
        </w:rPr>
        <w:t>Class Participation</w:t>
      </w:r>
      <w:r w:rsidR="008C2E95">
        <w:rPr>
          <w:b/>
          <w:bCs/>
        </w:rPr>
        <w:t xml:space="preserve"> (10%)</w:t>
      </w:r>
      <w:r w:rsidR="00626EAF">
        <w:rPr>
          <w:b/>
          <w:bCs/>
        </w:rPr>
        <w:t>:</w:t>
      </w:r>
    </w:p>
    <w:p w14:paraId="59847225" w14:textId="72E352DB" w:rsidR="00BF5C17" w:rsidRPr="004D3F16" w:rsidRDefault="004D3F16" w:rsidP="00BF5C17">
      <w:pPr>
        <w:pStyle w:val="NoSpacing"/>
      </w:pPr>
      <w:r>
        <w:rPr>
          <w:b/>
          <w:bCs/>
        </w:rPr>
        <w:t xml:space="preserve">       </w:t>
      </w:r>
      <w:r>
        <w:t xml:space="preserve">Students are expected to actively participate in discussions, debates, and other class activities.  Excellent participation requires near-perfect attendance, a demonstrated knowledge of assigned readings, and active engagement in class discussion.  </w:t>
      </w:r>
    </w:p>
    <w:p w14:paraId="4E7825F6" w14:textId="725529DA" w:rsidR="00BF5C17" w:rsidRDefault="00BF5C17" w:rsidP="00BF5C17">
      <w:pPr>
        <w:pStyle w:val="NoSpacing"/>
        <w:rPr>
          <w:b/>
          <w:bCs/>
        </w:rPr>
      </w:pPr>
    </w:p>
    <w:p w14:paraId="48338815" w14:textId="2596EE3F" w:rsidR="00BF5C17" w:rsidRPr="009F1EF8" w:rsidRDefault="00BF5C17" w:rsidP="00BF5C17">
      <w:pPr>
        <w:pStyle w:val="NoSpacing"/>
        <w:numPr>
          <w:ilvl w:val="0"/>
          <w:numId w:val="2"/>
        </w:numPr>
        <w:rPr>
          <w:b/>
          <w:bCs/>
          <w:u w:val="single"/>
        </w:rPr>
      </w:pPr>
      <w:r>
        <w:rPr>
          <w:b/>
          <w:bCs/>
        </w:rPr>
        <w:t>Reflective Essays</w:t>
      </w:r>
      <w:r w:rsidR="008C2E95">
        <w:rPr>
          <w:b/>
          <w:bCs/>
        </w:rPr>
        <w:t xml:space="preserve"> (</w:t>
      </w:r>
      <w:r w:rsidR="003143D3">
        <w:rPr>
          <w:b/>
          <w:bCs/>
        </w:rPr>
        <w:t>2</w:t>
      </w:r>
      <w:r w:rsidR="00B57A98">
        <w:rPr>
          <w:b/>
          <w:bCs/>
        </w:rPr>
        <w:t>0%)</w:t>
      </w:r>
      <w:r w:rsidR="00626EAF">
        <w:rPr>
          <w:b/>
          <w:bCs/>
        </w:rPr>
        <w:t>:</w:t>
      </w:r>
    </w:p>
    <w:p w14:paraId="79A6D41D" w14:textId="30F8FE72" w:rsidR="009F1EF8" w:rsidRPr="000730BF" w:rsidRDefault="009D6671" w:rsidP="009F1EF8">
      <w:pPr>
        <w:pStyle w:val="NoSpacing"/>
        <w:rPr>
          <w:strike/>
          <w:color w:val="FF0000"/>
        </w:rPr>
      </w:pPr>
      <w:r>
        <w:rPr>
          <w:b/>
          <w:bCs/>
        </w:rPr>
        <w:t xml:space="preserve">      </w:t>
      </w:r>
      <w:r>
        <w:t xml:space="preserve">Two reflective essays will be written, each worth 10% of </w:t>
      </w:r>
      <w:r w:rsidR="00E86443">
        <w:t>the</w:t>
      </w:r>
      <w:r>
        <w:t xml:space="preserve"> total course grade.  These reflective essays are NOT research papers, but rather </w:t>
      </w:r>
      <w:r w:rsidR="00182063">
        <w:t xml:space="preserve">personal </w:t>
      </w:r>
      <w:r>
        <w:t xml:space="preserve">reflections on your reading </w:t>
      </w:r>
      <w:r w:rsidR="00062623">
        <w:t xml:space="preserve">and </w:t>
      </w:r>
      <w:r w:rsidR="00100657">
        <w:t xml:space="preserve">thinking </w:t>
      </w:r>
      <w:r w:rsidR="00695E5A">
        <w:t xml:space="preserve">about </w:t>
      </w:r>
      <w:r>
        <w:t xml:space="preserve">the biblical text.  </w:t>
      </w:r>
      <w:r w:rsidR="00D021E7">
        <w:t xml:space="preserve">Each essay should be 1000 words or more in length and must be written in your own words.  </w:t>
      </w:r>
    </w:p>
    <w:p w14:paraId="236D2755" w14:textId="2AA485F2" w:rsidR="009E0F3C" w:rsidRPr="00AA60C0" w:rsidRDefault="009E0F3C" w:rsidP="009F1EF8">
      <w:pPr>
        <w:pStyle w:val="NoSpacing"/>
        <w:rPr>
          <w:color w:val="000000" w:themeColor="text1"/>
          <w:u w:val="single"/>
        </w:rPr>
      </w:pPr>
      <w:r>
        <w:t xml:space="preserve">        </w:t>
      </w:r>
      <w:r w:rsidR="00C84794">
        <w:t>The essays</w:t>
      </w:r>
      <w:r>
        <w:t xml:space="preserve"> will be graded on content, appropriate engagement of the biblical text</w:t>
      </w:r>
      <w:r w:rsidR="00383020">
        <w:t xml:space="preserve">, </w:t>
      </w:r>
      <w:r w:rsidR="00982CF6">
        <w:t xml:space="preserve">clarity of reasoning, </w:t>
      </w:r>
      <w:r w:rsidR="008A2A6B">
        <w:t xml:space="preserve">and adherence to the standards of formal writing and </w:t>
      </w:r>
      <w:r w:rsidR="00776387">
        <w:t xml:space="preserve">proper </w:t>
      </w:r>
      <w:r w:rsidR="008A2A6B">
        <w:t xml:space="preserve">English grammar.  </w:t>
      </w:r>
      <w:r w:rsidR="009D737F">
        <w:t xml:space="preserve">Possible subject matter </w:t>
      </w:r>
      <w:r w:rsidR="00372FD2">
        <w:t xml:space="preserve">for </w:t>
      </w:r>
      <w:r w:rsidR="00AE3D20">
        <w:t>each</w:t>
      </w:r>
      <w:r w:rsidR="00372FD2">
        <w:t xml:space="preserve"> essay </w:t>
      </w:r>
      <w:r w:rsidR="009D737F">
        <w:t>and fu</w:t>
      </w:r>
      <w:r w:rsidR="002F46D3">
        <w:t xml:space="preserve">rther instructions on this assignment will be </w:t>
      </w:r>
      <w:r w:rsidR="00B53E21">
        <w:t xml:space="preserve">addressed </w:t>
      </w:r>
      <w:r w:rsidR="002F46D3">
        <w:t>in class meeting</w:t>
      </w:r>
      <w:r w:rsidR="009B1F25">
        <w:t>s</w:t>
      </w:r>
      <w:r w:rsidR="002F46D3">
        <w:t>.</w:t>
      </w:r>
      <w:r w:rsidR="00EB1DEA">
        <w:t xml:space="preserve">   </w:t>
      </w:r>
      <w:r w:rsidR="000730BF" w:rsidRPr="00AA60C0">
        <w:rPr>
          <w:color w:val="000000" w:themeColor="text1"/>
        </w:rPr>
        <w:t>A detailed guide for the reflective essay</w:t>
      </w:r>
      <w:r w:rsidR="00AA60C0">
        <w:rPr>
          <w:color w:val="000000" w:themeColor="text1"/>
        </w:rPr>
        <w:t>s</w:t>
      </w:r>
      <w:r w:rsidR="000730BF" w:rsidRPr="00AA60C0">
        <w:rPr>
          <w:color w:val="000000" w:themeColor="text1"/>
        </w:rPr>
        <w:t xml:space="preserve"> will be provided on the first day of class.</w:t>
      </w:r>
    </w:p>
    <w:p w14:paraId="582312C3" w14:textId="54939BC7" w:rsidR="00BF5C17" w:rsidRDefault="00BF5C17" w:rsidP="00BF5C17">
      <w:pPr>
        <w:pStyle w:val="NoSpacing"/>
        <w:rPr>
          <w:b/>
          <w:bCs/>
        </w:rPr>
      </w:pPr>
    </w:p>
    <w:p w14:paraId="734D7890" w14:textId="2A3EB2B7" w:rsidR="00BF5C17" w:rsidRPr="00661291" w:rsidRDefault="00BF5C17" w:rsidP="00BF5C17">
      <w:pPr>
        <w:pStyle w:val="NoSpacing"/>
        <w:numPr>
          <w:ilvl w:val="0"/>
          <w:numId w:val="2"/>
        </w:numPr>
        <w:rPr>
          <w:b/>
          <w:bCs/>
          <w:u w:val="single"/>
        </w:rPr>
      </w:pPr>
      <w:r w:rsidRPr="00BF5C17">
        <w:rPr>
          <w:b/>
          <w:bCs/>
        </w:rPr>
        <w:t>Exams</w:t>
      </w:r>
      <w:r w:rsidR="003143D3">
        <w:rPr>
          <w:b/>
          <w:bCs/>
        </w:rPr>
        <w:t xml:space="preserve"> </w:t>
      </w:r>
      <w:r w:rsidR="00B85731">
        <w:rPr>
          <w:b/>
          <w:bCs/>
        </w:rPr>
        <w:t>(</w:t>
      </w:r>
      <w:r w:rsidR="006D7A32">
        <w:rPr>
          <w:b/>
          <w:bCs/>
        </w:rPr>
        <w:t>4</w:t>
      </w:r>
      <w:r w:rsidR="00B85731">
        <w:rPr>
          <w:b/>
          <w:bCs/>
        </w:rPr>
        <w:t>0%)</w:t>
      </w:r>
      <w:r w:rsidR="00626EAF">
        <w:rPr>
          <w:b/>
          <w:bCs/>
        </w:rPr>
        <w:t>:</w:t>
      </w:r>
    </w:p>
    <w:p w14:paraId="3D37D763" w14:textId="04B34F36" w:rsidR="00661291" w:rsidRDefault="00661291" w:rsidP="00661291">
      <w:pPr>
        <w:pStyle w:val="NoSpacing"/>
      </w:pPr>
      <w:r>
        <w:rPr>
          <w:b/>
          <w:bCs/>
        </w:rPr>
        <w:t xml:space="preserve">      </w:t>
      </w:r>
      <w:r w:rsidR="000730BF" w:rsidRPr="00AA60C0">
        <w:rPr>
          <w:color w:val="000000" w:themeColor="text1"/>
        </w:rPr>
        <w:t>There are two major exams in the course: A Mid-Term and a Final.</w:t>
      </w:r>
      <w:r w:rsidR="000730BF">
        <w:rPr>
          <w:color w:val="FF0000"/>
        </w:rPr>
        <w:t xml:space="preserve">  </w:t>
      </w:r>
      <w:r w:rsidR="00FE7BD2">
        <w:t xml:space="preserve">Each exam is worth 20% of the total course grade.  </w:t>
      </w:r>
      <w:r w:rsidR="0065386F">
        <w:t>The exams may include objective questions (</w:t>
      </w:r>
      <w:r w:rsidR="00D03976">
        <w:t>t</w:t>
      </w:r>
      <w:r w:rsidR="0065386F">
        <w:t>rue-</w:t>
      </w:r>
      <w:r w:rsidR="00D03976">
        <w:t>f</w:t>
      </w:r>
      <w:r w:rsidR="0065386F">
        <w:t>alse</w:t>
      </w:r>
      <w:r w:rsidR="00D03976">
        <w:t xml:space="preserve"> and m</w:t>
      </w:r>
      <w:r w:rsidR="0065386F">
        <w:t xml:space="preserve">ultiple </w:t>
      </w:r>
      <w:r w:rsidR="00D03976">
        <w:t>c</w:t>
      </w:r>
      <w:r w:rsidR="0065386F">
        <w:t xml:space="preserve">hoice), </w:t>
      </w:r>
      <w:r w:rsidR="00D03976">
        <w:t>fill in the blank statements, short answer, matching, and essay questions.</w:t>
      </w:r>
      <w:r w:rsidR="00EF52F9">
        <w:t xml:space="preserve">  The exams may cover material from your assigned readings as well as material from class lectures and discussions.  </w:t>
      </w:r>
    </w:p>
    <w:p w14:paraId="5007B44A" w14:textId="529C5CAA" w:rsidR="00EF52F9" w:rsidRDefault="00EF52F9" w:rsidP="00661291">
      <w:pPr>
        <w:pStyle w:val="NoSpacing"/>
      </w:pPr>
    </w:p>
    <w:p w14:paraId="539BC12B" w14:textId="7805E600" w:rsidR="00EF52F9" w:rsidRDefault="00EF52F9" w:rsidP="00661291">
      <w:pPr>
        <w:pStyle w:val="NoSpacing"/>
        <w:rPr>
          <w:b/>
          <w:bCs/>
        </w:rPr>
      </w:pPr>
      <w:r>
        <w:rPr>
          <w:b/>
          <w:bCs/>
        </w:rPr>
        <w:t>Grading Scale:</w:t>
      </w:r>
    </w:p>
    <w:p w14:paraId="15558E6E" w14:textId="71EA168A" w:rsidR="00EF52F9" w:rsidRPr="00EF52F9" w:rsidRDefault="00EF52F9" w:rsidP="00661291">
      <w:pPr>
        <w:pStyle w:val="NoSpacing"/>
        <w:rPr>
          <w:u w:val="single"/>
        </w:rPr>
      </w:pPr>
      <w:r>
        <w:rPr>
          <w:b/>
          <w:bCs/>
        </w:rPr>
        <w:t xml:space="preserve">   </w:t>
      </w:r>
      <w:r>
        <w:t>A = 100-90</w:t>
      </w:r>
      <w:r w:rsidR="00683BAD">
        <w:t xml:space="preserve">            </w:t>
      </w:r>
      <w:r>
        <w:t xml:space="preserve"> B = 89-80</w:t>
      </w:r>
      <w:r w:rsidR="00683BAD">
        <w:t xml:space="preserve">           </w:t>
      </w:r>
      <w:r>
        <w:t xml:space="preserve"> C = 79-70</w:t>
      </w:r>
      <w:r w:rsidR="00683BAD">
        <w:t xml:space="preserve">            </w:t>
      </w:r>
      <w:r>
        <w:t>D = 69-60,</w:t>
      </w:r>
      <w:r w:rsidR="00683BAD">
        <w:t xml:space="preserve"> </w:t>
      </w:r>
      <w:r w:rsidR="002D2C62">
        <w:t xml:space="preserve"> </w:t>
      </w:r>
      <w:r w:rsidR="00891AFE">
        <w:t xml:space="preserve"> </w:t>
      </w:r>
      <w:r w:rsidR="00683BAD">
        <w:t xml:space="preserve">      </w:t>
      </w:r>
      <w:r>
        <w:t xml:space="preserve"> F = 59 and below</w:t>
      </w:r>
    </w:p>
    <w:p w14:paraId="1AE90C15" w14:textId="6CC894D8" w:rsidR="00F8042C" w:rsidRPr="00053A88" w:rsidRDefault="00F45241" w:rsidP="0034008F">
      <w:pPr>
        <w:pStyle w:val="NoSpacing"/>
      </w:pPr>
      <w:r>
        <w:rPr>
          <w:b/>
          <w:bCs/>
          <w:u w:val="single"/>
        </w:rPr>
        <w:t xml:space="preserve">      </w:t>
      </w:r>
      <w:r w:rsidR="00053A88">
        <w:rPr>
          <w:b/>
          <w:bCs/>
          <w:u w:val="single"/>
        </w:rPr>
        <w:t xml:space="preserve"> </w:t>
      </w:r>
    </w:p>
    <w:p w14:paraId="6E9F8A4E" w14:textId="0384D769" w:rsidR="00F8042C" w:rsidRDefault="00AD2483" w:rsidP="0034008F">
      <w:pPr>
        <w:pStyle w:val="NoSpacing"/>
        <w:rPr>
          <w:b/>
          <w:bCs/>
          <w:u w:val="single"/>
        </w:rPr>
      </w:pPr>
      <w:r>
        <w:t xml:space="preserve"> </w:t>
      </w:r>
      <w:r w:rsidR="00E65E1C" w:rsidRPr="00E65E1C">
        <w:rPr>
          <w:b/>
          <w:bCs/>
          <w:u w:val="single"/>
        </w:rPr>
        <w:t>Course Policies</w:t>
      </w:r>
    </w:p>
    <w:p w14:paraId="1A489556" w14:textId="6D95D4F0" w:rsidR="00BA0D75" w:rsidRDefault="00BA0D75" w:rsidP="0034008F">
      <w:pPr>
        <w:pStyle w:val="NoSpacing"/>
        <w:rPr>
          <w:b/>
          <w:bCs/>
          <w:u w:val="single"/>
        </w:rPr>
      </w:pPr>
    </w:p>
    <w:p w14:paraId="2816ED15" w14:textId="56889C15" w:rsidR="00BA0D75" w:rsidRPr="00BA0D75" w:rsidRDefault="00BA0D75" w:rsidP="00BA0D75">
      <w:pPr>
        <w:pStyle w:val="NoSpacing"/>
        <w:numPr>
          <w:ilvl w:val="0"/>
          <w:numId w:val="3"/>
        </w:numPr>
        <w:rPr>
          <w:b/>
          <w:bCs/>
          <w:u w:val="single"/>
        </w:rPr>
      </w:pPr>
      <w:r>
        <w:rPr>
          <w:b/>
          <w:bCs/>
        </w:rPr>
        <w:t>Academic Honesty Policy:</w:t>
      </w:r>
      <w:r>
        <w:rPr>
          <w:b/>
          <w:bCs/>
          <w:u w:val="single"/>
        </w:rPr>
        <w:t xml:space="preserve"> </w:t>
      </w:r>
    </w:p>
    <w:p w14:paraId="0BD270EB" w14:textId="2342AA36" w:rsidR="00FD4E3C" w:rsidRDefault="00FD4E3C" w:rsidP="0034008F">
      <w:pPr>
        <w:pStyle w:val="NoSpacing"/>
        <w:rPr>
          <w:b/>
          <w:bCs/>
          <w:u w:val="single"/>
        </w:rPr>
      </w:pPr>
    </w:p>
    <w:p w14:paraId="4F888DFE" w14:textId="2EB47B28" w:rsidR="00FD4E3C" w:rsidRPr="00EA737A" w:rsidRDefault="00931EFF" w:rsidP="0034008F">
      <w:pPr>
        <w:pStyle w:val="NoSpacing"/>
        <w:rPr>
          <w:color w:val="000000" w:themeColor="text1"/>
        </w:rPr>
      </w:pPr>
      <w:r>
        <w:t xml:space="preserve">     Academic honesty is expected of all students.  Any form of cheating, copying, or dishonesty is unacceptable: helping another student on an exam, using unauthorized aids during exams, falsely claiming authorship on an assignment, and plagiarizing material.  Ultimately this only hurts you as it destroys your </w:t>
      </w:r>
      <w:r w:rsidR="00833479">
        <w:t>opportunity to learn and grow as a disciple in this course.</w:t>
      </w:r>
      <w:r w:rsidR="00146910">
        <w:t xml:space="preserve">  </w:t>
      </w:r>
      <w:r w:rsidR="00146910" w:rsidRPr="00EA737A">
        <w:rPr>
          <w:color w:val="000000" w:themeColor="text1"/>
        </w:rPr>
        <w:t>Please see Appendix I for the full OC Academic Honesty Policy.</w:t>
      </w:r>
    </w:p>
    <w:p w14:paraId="3CF58B67" w14:textId="32F1C70F" w:rsidR="00833479" w:rsidRDefault="00833479" w:rsidP="0034008F">
      <w:pPr>
        <w:pStyle w:val="NoSpacing"/>
      </w:pPr>
    </w:p>
    <w:p w14:paraId="006E5FB9" w14:textId="002FFB5C" w:rsidR="00833479" w:rsidRDefault="00833479" w:rsidP="0034008F">
      <w:pPr>
        <w:pStyle w:val="NoSpacing"/>
      </w:pPr>
      <w:r>
        <w:t xml:space="preserve">     Plagiarism is the use of another’s words and/or ideas without giving the author the credit.  If you have questions about this, go to the following webpage for a brief description with examples:  </w:t>
      </w:r>
    </w:p>
    <w:p w14:paraId="53F29621" w14:textId="15D81549" w:rsidR="00833479" w:rsidRDefault="00DF10A5" w:rsidP="0034008F">
      <w:pPr>
        <w:pStyle w:val="NoSpacing"/>
      </w:pPr>
      <w:hyperlink r:id="rId7" w:history="1">
        <w:r w:rsidR="00787CFA" w:rsidRPr="002B2824">
          <w:rPr>
            <w:rStyle w:val="Hyperlink"/>
          </w:rPr>
          <w:t>www.indiana.edu/~wts/pamphlets/p;agiarism.shtml</w:t>
        </w:r>
      </w:hyperlink>
      <w:r w:rsidR="00DE60CE">
        <w:t xml:space="preserve">.   Academic dishonesty will result in a “0” for the assignment and follow the process outlined in the current </w:t>
      </w:r>
      <w:r w:rsidR="00A21D40">
        <w:t xml:space="preserve">OC </w:t>
      </w:r>
      <w:r w:rsidR="00DE60CE">
        <w:t xml:space="preserve">academic catalog.  </w:t>
      </w:r>
    </w:p>
    <w:p w14:paraId="1DB544EC" w14:textId="4E21DC70" w:rsidR="00CC2DD2" w:rsidRDefault="00CC2DD2" w:rsidP="0034008F">
      <w:pPr>
        <w:pStyle w:val="NoSpacing"/>
      </w:pPr>
    </w:p>
    <w:p w14:paraId="04129234" w14:textId="7B0A5600" w:rsidR="00CC2DD2" w:rsidRPr="00C36BFB" w:rsidRDefault="00C36BFB" w:rsidP="00C36BFB">
      <w:pPr>
        <w:pStyle w:val="NoSpacing"/>
        <w:numPr>
          <w:ilvl w:val="0"/>
          <w:numId w:val="3"/>
        </w:numPr>
        <w:rPr>
          <w:b/>
          <w:bCs/>
        </w:rPr>
      </w:pPr>
      <w:r>
        <w:rPr>
          <w:b/>
          <w:bCs/>
        </w:rPr>
        <w:t>Late Work Policy:</w:t>
      </w:r>
    </w:p>
    <w:p w14:paraId="239D78B6" w14:textId="5441A1E6" w:rsidR="00787CFA" w:rsidRDefault="00787CFA" w:rsidP="0034008F">
      <w:pPr>
        <w:pStyle w:val="NoSpacing"/>
      </w:pPr>
    </w:p>
    <w:p w14:paraId="74ECE89E" w14:textId="21EEAEDF" w:rsidR="008769DC" w:rsidRDefault="008769DC" w:rsidP="0034008F">
      <w:pPr>
        <w:pStyle w:val="NoSpacing"/>
      </w:pPr>
      <w:r>
        <w:t xml:space="preserve">     Assignments will be considered late if not turned to the instructor at the beginning of class on the day they are due.  Assignments that are late will be deducted 5% per calendar day</w:t>
      </w:r>
      <w:r w:rsidR="00EB4ED3">
        <w:t xml:space="preserve"> they are late.</w:t>
      </w:r>
      <w:r w:rsidR="003A3ABE">
        <w:t xml:space="preserve">  </w:t>
      </w:r>
    </w:p>
    <w:p w14:paraId="5CB778AD" w14:textId="059D729F" w:rsidR="00415C2B" w:rsidRDefault="00415C2B" w:rsidP="0034008F">
      <w:pPr>
        <w:pStyle w:val="NoSpacing"/>
      </w:pPr>
    </w:p>
    <w:p w14:paraId="0442F536" w14:textId="11505C06" w:rsidR="00415C2B" w:rsidRDefault="00415C2B" w:rsidP="0034008F">
      <w:pPr>
        <w:pStyle w:val="NoSpacing"/>
      </w:pPr>
      <w:r>
        <w:t xml:space="preserve">     Exams:  The opportunity to make up exams will not be granted automatically and </w:t>
      </w:r>
      <w:r w:rsidR="00275C9B">
        <w:t>is</w:t>
      </w:r>
      <w:r>
        <w:t xml:space="preserve"> only available at the instructor’s discretion.  Make-up exams may </w:t>
      </w:r>
      <w:r w:rsidR="007708FA">
        <w:t xml:space="preserve">be entirely essay and </w:t>
      </w:r>
      <w:r w:rsidR="00275C9B">
        <w:t xml:space="preserve">will </w:t>
      </w:r>
      <w:r w:rsidR="007708FA">
        <w:t>be harder</w:t>
      </w:r>
      <w:r w:rsidR="00BC517C">
        <w:t xml:space="preserve">.  There are two legitimate reasons for missing an exam:  extreme illness and urgent personal emergency, both of which </w:t>
      </w:r>
      <w:r w:rsidR="00BC517C">
        <w:lastRenderedPageBreak/>
        <w:t xml:space="preserve">must be verified be an outside source (i.e., a doctor’s note).  </w:t>
      </w:r>
      <w:r w:rsidR="006C7A58">
        <w:t xml:space="preserve">Note that travel arrangements </w:t>
      </w:r>
      <w:r w:rsidR="00A61734">
        <w:t xml:space="preserve">and </w:t>
      </w:r>
      <w:r w:rsidR="00085D4C">
        <w:t xml:space="preserve">attending weddings or family gatherings are </w:t>
      </w:r>
      <w:r w:rsidR="00085D4C" w:rsidRPr="0091289C">
        <w:rPr>
          <w:i/>
          <w:iCs/>
        </w:rPr>
        <w:t>not</w:t>
      </w:r>
      <w:r w:rsidR="00085D4C">
        <w:t xml:space="preserve"> acceptable reasons for missing an exam.  </w:t>
      </w:r>
      <w:r w:rsidR="0095103C">
        <w:t xml:space="preserve"> </w:t>
      </w:r>
    </w:p>
    <w:p w14:paraId="72AA5D4A" w14:textId="77777777" w:rsidR="00787CFA" w:rsidRPr="00931EFF" w:rsidRDefault="00787CFA" w:rsidP="0034008F">
      <w:pPr>
        <w:pStyle w:val="NoSpacing"/>
      </w:pPr>
    </w:p>
    <w:p w14:paraId="0147E412" w14:textId="58D79AA6" w:rsidR="00B87962" w:rsidRPr="00B87962" w:rsidRDefault="003A46A6" w:rsidP="00B87962">
      <w:pPr>
        <w:pStyle w:val="NoSpacing"/>
        <w:numPr>
          <w:ilvl w:val="0"/>
          <w:numId w:val="3"/>
        </w:numPr>
        <w:rPr>
          <w:b/>
          <w:bCs/>
          <w:u w:val="single"/>
        </w:rPr>
      </w:pPr>
      <w:r>
        <w:rPr>
          <w:b/>
          <w:bCs/>
        </w:rPr>
        <w:t>Classroom and Electronic Etiquette Policy:</w:t>
      </w:r>
    </w:p>
    <w:p w14:paraId="35A8BD8C" w14:textId="73E83FA9" w:rsidR="00B87962" w:rsidRDefault="00B87962" w:rsidP="00B87962">
      <w:pPr>
        <w:pStyle w:val="NoSpacing"/>
      </w:pPr>
      <w:r>
        <w:t>Students are expected to be on time to class and actively engaged to create a healthy learning environment.  Being on time shows respect to your fellow students and to the instructor.</w:t>
      </w:r>
    </w:p>
    <w:p w14:paraId="2FDF3AB8" w14:textId="13B50B1B" w:rsidR="00B87962" w:rsidRPr="00E01625" w:rsidRDefault="00E01625" w:rsidP="00494DDE">
      <w:pPr>
        <w:pStyle w:val="NoSpacing"/>
        <w:numPr>
          <w:ilvl w:val="0"/>
          <w:numId w:val="4"/>
        </w:numPr>
        <w:rPr>
          <w:u w:val="single"/>
        </w:rPr>
      </w:pPr>
      <w:r>
        <w:t>Tardiness is disruptive and reduces your participation grade.</w:t>
      </w:r>
    </w:p>
    <w:p w14:paraId="2377D4EA" w14:textId="440802AB" w:rsidR="00E01625" w:rsidRPr="00E01625" w:rsidRDefault="00E01625" w:rsidP="00494DDE">
      <w:pPr>
        <w:pStyle w:val="NoSpacing"/>
        <w:numPr>
          <w:ilvl w:val="0"/>
          <w:numId w:val="4"/>
        </w:numPr>
        <w:rPr>
          <w:u w:val="single"/>
        </w:rPr>
      </w:pPr>
      <w:r>
        <w:t>Cell phones are to be turned off.  Texting and calls destroy a healthy learning environment.</w:t>
      </w:r>
    </w:p>
    <w:p w14:paraId="025B3AC8" w14:textId="4817D5F4" w:rsidR="00E01625" w:rsidRPr="00E01625" w:rsidRDefault="00E01625" w:rsidP="00494DDE">
      <w:pPr>
        <w:pStyle w:val="NoSpacing"/>
        <w:numPr>
          <w:ilvl w:val="0"/>
          <w:numId w:val="4"/>
        </w:numPr>
        <w:rPr>
          <w:u w:val="single"/>
        </w:rPr>
      </w:pPr>
      <w:r>
        <w:t>Laptops can be used for notetaking but NOT for surfing the web, email, completing assignments or other distracting activities.  Engaging in these will result in a zero for the day.</w:t>
      </w:r>
    </w:p>
    <w:p w14:paraId="5577D093" w14:textId="60182CA2" w:rsidR="00E01625" w:rsidRDefault="00E01625" w:rsidP="00E01625">
      <w:pPr>
        <w:pStyle w:val="NoSpacing"/>
      </w:pPr>
      <w:r>
        <w:t>Engaging in disrespectful and distracting things during class will negatively impact your participation grade.  You may also be asked to leave class.</w:t>
      </w:r>
    </w:p>
    <w:p w14:paraId="1A752C34" w14:textId="77777777" w:rsidR="00E01625" w:rsidRPr="00B87962" w:rsidRDefault="00E01625" w:rsidP="00E01625">
      <w:pPr>
        <w:pStyle w:val="NoSpacing"/>
        <w:rPr>
          <w:u w:val="single"/>
        </w:rPr>
      </w:pPr>
    </w:p>
    <w:p w14:paraId="56331413" w14:textId="691FCDC9" w:rsidR="003A46A6" w:rsidRPr="00783B29" w:rsidRDefault="003B5CB7" w:rsidP="003A46A6">
      <w:pPr>
        <w:pStyle w:val="NoSpacing"/>
        <w:numPr>
          <w:ilvl w:val="0"/>
          <w:numId w:val="3"/>
        </w:numPr>
        <w:rPr>
          <w:b/>
          <w:bCs/>
          <w:u w:val="single"/>
        </w:rPr>
      </w:pPr>
      <w:r>
        <w:rPr>
          <w:b/>
          <w:bCs/>
        </w:rPr>
        <w:t>Mission Statement:</w:t>
      </w:r>
    </w:p>
    <w:p w14:paraId="0426984D" w14:textId="547E31F7" w:rsidR="00783B29" w:rsidRPr="00783B29" w:rsidRDefault="00CD0CA1" w:rsidP="00783B29">
      <w:pPr>
        <w:pStyle w:val="NoSpacing"/>
        <w:rPr>
          <w:u w:val="single"/>
        </w:rPr>
      </w:pPr>
      <w:r>
        <w:t xml:space="preserve">This </w:t>
      </w:r>
      <w:r w:rsidR="00BD5A95">
        <w:t xml:space="preserve">Northwest School of Discipleship </w:t>
      </w:r>
      <w:r>
        <w:t>course is</w:t>
      </w:r>
      <w:r w:rsidR="00BD5A95">
        <w:t xml:space="preserve"> accredited by Oklahoma Christian University.  The mission of Oklahoma Christian University is “to be a premier Christian institution of higher learning and higher calling.”  </w:t>
      </w:r>
    </w:p>
    <w:p w14:paraId="1E3E3751" w14:textId="53DCD99E" w:rsidR="003B5CB7" w:rsidRDefault="003B5CB7" w:rsidP="003B5CB7">
      <w:pPr>
        <w:pStyle w:val="NoSpacing"/>
        <w:rPr>
          <w:b/>
          <w:bCs/>
        </w:rPr>
      </w:pPr>
    </w:p>
    <w:p w14:paraId="5A956F45" w14:textId="7E26B29A" w:rsidR="003B5CB7" w:rsidRPr="003B5CB7" w:rsidRDefault="003B5CB7" w:rsidP="003B5CB7">
      <w:pPr>
        <w:pStyle w:val="NoSpacing"/>
        <w:numPr>
          <w:ilvl w:val="0"/>
          <w:numId w:val="3"/>
        </w:numPr>
        <w:rPr>
          <w:b/>
          <w:bCs/>
          <w:u w:val="single"/>
        </w:rPr>
      </w:pPr>
      <w:r>
        <w:rPr>
          <w:b/>
          <w:bCs/>
        </w:rPr>
        <w:t>Americans with Disabilities Act (ADA/504) Statement:</w:t>
      </w:r>
    </w:p>
    <w:p w14:paraId="3A7671A5" w14:textId="6DFD6FBC" w:rsidR="003B5CB7" w:rsidRPr="00E7784A" w:rsidRDefault="00E7784A" w:rsidP="00E7784A">
      <w:r>
        <w:t xml:space="preserve">If you </w:t>
      </w:r>
      <w:r w:rsidR="00CB45A6">
        <w:t xml:space="preserve">have a diagnosed disability and need special accommodations, please notify Dr. Darren Williamson, Director of </w:t>
      </w:r>
      <w:r w:rsidR="005B5E5D">
        <w:t>The Northwest School of Discipleship</w:t>
      </w:r>
      <w:r w:rsidR="00CD0CA1">
        <w:t xml:space="preserve"> </w:t>
      </w:r>
      <w:r w:rsidR="00CD0CA1" w:rsidRPr="004C3A68">
        <w:rPr>
          <w:color w:val="000000" w:themeColor="text1"/>
        </w:rPr>
        <w:t>who will put you into direct contact with support personnel at Oklahoma Christian University.</w:t>
      </w:r>
      <w:r w:rsidR="005B5E5D" w:rsidRPr="004C3A68">
        <w:rPr>
          <w:color w:val="000000" w:themeColor="text1"/>
        </w:rPr>
        <w:t xml:space="preserve"> </w:t>
      </w:r>
      <w:r w:rsidR="005B5E5D">
        <w:t xml:space="preserve"> After your disability has been verified, I will work with you to provide reasonable accommodations to ensure that you have a fair opportunity to perform well in the course.  </w:t>
      </w:r>
      <w:r w:rsidR="009C7555" w:rsidRPr="00D70EC2">
        <w:rPr>
          <w:color w:val="000000" w:themeColor="text1"/>
        </w:rPr>
        <w:t>Please see Appendix I for the full OC ADA Statement.</w:t>
      </w:r>
    </w:p>
    <w:p w14:paraId="2D9EA6EC" w14:textId="6E64286B" w:rsidR="003B5CB7" w:rsidRPr="0097555E" w:rsidRDefault="003B5CB7" w:rsidP="003B5CB7">
      <w:pPr>
        <w:pStyle w:val="NoSpacing"/>
        <w:numPr>
          <w:ilvl w:val="0"/>
          <w:numId w:val="3"/>
        </w:numPr>
        <w:rPr>
          <w:b/>
          <w:bCs/>
          <w:u w:val="single"/>
        </w:rPr>
      </w:pPr>
      <w:r>
        <w:rPr>
          <w:b/>
          <w:bCs/>
        </w:rPr>
        <w:t>Prohibition Against Harassment:</w:t>
      </w:r>
    </w:p>
    <w:p w14:paraId="6CEA414E" w14:textId="56D47DCB" w:rsidR="00CD0CA1" w:rsidRPr="001B7B7F" w:rsidRDefault="0097555E" w:rsidP="00CD0CA1">
      <w:pPr>
        <w:pStyle w:val="NoSpacing"/>
        <w:rPr>
          <w:color w:val="000000" w:themeColor="text1"/>
        </w:rPr>
      </w:pPr>
      <w:r>
        <w:t xml:space="preserve">Harassment, as defined in the student handbook, is not tolerated. Harassment is unchristian and uncivil behavior.  It is a breach of community, which expresses disrespect, </w:t>
      </w:r>
      <w:r w:rsidR="0082307A">
        <w:t>exploits</w:t>
      </w:r>
      <w:r>
        <w:t xml:space="preserve"> and undermines relationships</w:t>
      </w:r>
      <w:r w:rsidR="0082307A">
        <w:t xml:space="preserve"> based on trust, and interferes with learning and productive work.  If you feel </w:t>
      </w:r>
      <w:r w:rsidR="00B05793">
        <w:t xml:space="preserve">that you have been subjected to harassment, you may </w:t>
      </w:r>
      <w:r w:rsidR="001D0859">
        <w:t>contact Dr. Darren Williamson</w:t>
      </w:r>
      <w:r w:rsidR="00CD0CA1">
        <w:t xml:space="preserve"> </w:t>
      </w:r>
      <w:r w:rsidR="00CD0CA1" w:rsidRPr="001B7B7F">
        <w:rPr>
          <w:color w:val="000000" w:themeColor="text1"/>
        </w:rPr>
        <w:t>who will put you into direct contact with support personnel at Oklahoma Christian University who will address your concerns.</w:t>
      </w:r>
      <w:r w:rsidR="000730BF" w:rsidRPr="001B7B7F">
        <w:rPr>
          <w:color w:val="000000" w:themeColor="text1"/>
        </w:rPr>
        <w:t xml:space="preserve">  Please see Appendix I for the full OC Title IX statement.</w:t>
      </w:r>
    </w:p>
    <w:p w14:paraId="0DE4E9C5" w14:textId="77777777" w:rsidR="00CD0CA1" w:rsidRDefault="00CD0CA1" w:rsidP="00CD0CA1">
      <w:pPr>
        <w:pStyle w:val="NoSpacing"/>
        <w:rPr>
          <w:color w:val="FF0000"/>
        </w:rPr>
      </w:pPr>
    </w:p>
    <w:p w14:paraId="14E07573" w14:textId="3D42733A" w:rsidR="00CD0CA1" w:rsidRPr="00CD0CA1" w:rsidRDefault="00CD0CA1" w:rsidP="00CD0CA1">
      <w:pPr>
        <w:pStyle w:val="NoSpacing"/>
        <w:rPr>
          <w:u w:val="single"/>
        </w:rPr>
      </w:pPr>
      <w:r>
        <w:rPr>
          <w:color w:val="FF0000"/>
        </w:rPr>
        <w:t xml:space="preserve">        </w:t>
      </w:r>
      <w:r>
        <w:rPr>
          <w:rFonts w:eastAsia="Times New Roman" w:cs="Arial"/>
          <w:b/>
          <w:color w:val="000000"/>
        </w:rPr>
        <w:t xml:space="preserve">7.  </w:t>
      </w:r>
      <w:r w:rsidRPr="006C0F9C">
        <w:rPr>
          <w:rFonts w:eastAsia="Times New Roman" w:cs="Arial"/>
          <w:b/>
          <w:color w:val="000000"/>
        </w:rPr>
        <w:t>Copyright</w:t>
      </w:r>
      <w:r>
        <w:rPr>
          <w:rFonts w:eastAsia="Times New Roman" w:cs="Arial"/>
          <w:b/>
          <w:color w:val="000000"/>
        </w:rPr>
        <w:t>/Fair use</w:t>
      </w:r>
      <w:r w:rsidRPr="006C0F9C">
        <w:rPr>
          <w:rFonts w:eastAsia="Times New Roman" w:cs="Arial"/>
          <w:b/>
          <w:color w:val="000000"/>
        </w:rPr>
        <w:t xml:space="preserve"> notice</w:t>
      </w:r>
    </w:p>
    <w:p w14:paraId="7A247FE3" w14:textId="734ABA78" w:rsidR="00CD0CA1" w:rsidRPr="001B7B7F" w:rsidRDefault="00CD0CA1" w:rsidP="00CD0CA1">
      <w:pPr>
        <w:spacing w:after="0"/>
        <w:textAlignment w:val="baseline"/>
        <w:rPr>
          <w:rFonts w:cstheme="minorHAnsi"/>
          <w:color w:val="000000" w:themeColor="text1"/>
        </w:rPr>
      </w:pPr>
      <w:r w:rsidRPr="001B7B7F">
        <w:rPr>
          <w:rFonts w:cstheme="minorHAnsi"/>
          <w:color w:val="000000" w:themeColor="text1"/>
          <w:shd w:val="clear" w:color="auto" w:fill="FFFFFF"/>
        </w:rPr>
        <w:t>Course materials provided or made available to students in class, online or via email are the property of Oklahoma Christian University, the instructor and other copyright holders and are made available for the sole use of students enrolled in this class during the semester in which the student is enrolled. Students may keep one copy (print or digital) for personal use only and may not distribute the materials in any media format to any person without the express permission of the Oklahoma Christian University and the instructor. Original materials posted and authored by students may not be distributed under any circumstances.   </w:t>
      </w:r>
    </w:p>
    <w:p w14:paraId="18C3281A" w14:textId="35E8FD5A" w:rsidR="00257D2D" w:rsidRDefault="00257D2D" w:rsidP="0034008F">
      <w:pPr>
        <w:pStyle w:val="NoSpacing"/>
        <w:rPr>
          <w:b/>
          <w:bCs/>
          <w:u w:val="single"/>
        </w:rPr>
      </w:pPr>
    </w:p>
    <w:p w14:paraId="464C3844" w14:textId="77777777" w:rsidR="00160A4B" w:rsidRDefault="00160A4B" w:rsidP="0034008F">
      <w:pPr>
        <w:pStyle w:val="NoSpacing"/>
        <w:rPr>
          <w:b/>
          <w:bCs/>
          <w:u w:val="single"/>
        </w:rPr>
      </w:pPr>
    </w:p>
    <w:p w14:paraId="552D7ADF" w14:textId="6B5436B2" w:rsidR="00464179" w:rsidRDefault="00621DC1" w:rsidP="0034008F">
      <w:pPr>
        <w:pStyle w:val="NoSpacing"/>
        <w:rPr>
          <w:b/>
          <w:bCs/>
          <w:u w:val="single"/>
        </w:rPr>
      </w:pPr>
      <w:r>
        <w:rPr>
          <w:b/>
          <w:bCs/>
          <w:u w:val="single"/>
        </w:rPr>
        <w:t>Self -Study E</w:t>
      </w:r>
      <w:r w:rsidR="00DB7670" w:rsidRPr="00DB7670">
        <w:rPr>
          <w:b/>
          <w:bCs/>
          <w:u w:val="single"/>
        </w:rPr>
        <w:t>xpectations</w:t>
      </w:r>
    </w:p>
    <w:p w14:paraId="1620A050" w14:textId="7CB2D674" w:rsidR="00DB7670" w:rsidRDefault="00DB7670" w:rsidP="0034008F">
      <w:pPr>
        <w:pStyle w:val="NoSpacing"/>
        <w:rPr>
          <w:b/>
          <w:bCs/>
          <w:u w:val="single"/>
        </w:rPr>
      </w:pPr>
    </w:p>
    <w:p w14:paraId="73DA2596" w14:textId="61023413" w:rsidR="00DB7670" w:rsidRDefault="00DB7670" w:rsidP="0034008F">
      <w:pPr>
        <w:pStyle w:val="NoSpacing"/>
      </w:pPr>
      <w:r>
        <w:t xml:space="preserve">In college level studies, expect to spend two hours </w:t>
      </w:r>
      <w:r w:rsidR="00F829DC">
        <w:t xml:space="preserve">of time outside of class working on your own for every hour in </w:t>
      </w:r>
      <w:r w:rsidR="00541127">
        <w:t xml:space="preserve">the </w:t>
      </w:r>
      <w:r w:rsidR="00F829DC">
        <w:t xml:space="preserve">classroom.  This will include </w:t>
      </w:r>
      <w:r w:rsidR="00C00C70">
        <w:t xml:space="preserve">reading and taking notes on assigned </w:t>
      </w:r>
      <w:r w:rsidR="00F829DC">
        <w:t>reading</w:t>
      </w:r>
      <w:r w:rsidR="00C00C70">
        <w:t>s</w:t>
      </w:r>
      <w:r w:rsidR="00A47E6C">
        <w:t>,</w:t>
      </w:r>
      <w:r w:rsidR="00F829DC">
        <w:t xml:space="preserve"> studying </w:t>
      </w:r>
      <w:r w:rsidR="00F829DC">
        <w:lastRenderedPageBreak/>
        <w:t xml:space="preserve">for quizzes and exams, </w:t>
      </w:r>
      <w:r w:rsidR="00A47E6C">
        <w:t xml:space="preserve">memory work, </w:t>
      </w:r>
      <w:r w:rsidR="00F829DC">
        <w:t xml:space="preserve">and completing written assignments.   </w:t>
      </w:r>
      <w:r w:rsidR="009B78C5">
        <w:t xml:space="preserve">For example, for a class that meets three and a half hours a week, expect to spend roughly seven hours </w:t>
      </w:r>
      <w:r w:rsidR="007B0828">
        <w:t xml:space="preserve">a week </w:t>
      </w:r>
      <w:r w:rsidR="009B78C5">
        <w:t xml:space="preserve">on your own in preparations and study.  </w:t>
      </w:r>
    </w:p>
    <w:p w14:paraId="16D7A8BF" w14:textId="0A717260" w:rsidR="00A639C9" w:rsidRDefault="00A639C9"/>
    <w:p w14:paraId="33DA673E" w14:textId="77777777" w:rsidR="00CD0CA1" w:rsidRDefault="00CD0CA1" w:rsidP="0034008F">
      <w:pPr>
        <w:pStyle w:val="NoSpacing"/>
      </w:pPr>
    </w:p>
    <w:p w14:paraId="1A3EBBE2" w14:textId="655D7F6A" w:rsidR="00CD0CA1" w:rsidRPr="00257D2D" w:rsidRDefault="00CD0CA1" w:rsidP="00464DDA">
      <w:pPr>
        <w:pStyle w:val="NoSpacing"/>
        <w:jc w:val="center"/>
        <w:rPr>
          <w:b/>
          <w:bCs/>
          <w:color w:val="000000" w:themeColor="text1"/>
          <w:u w:val="single"/>
        </w:rPr>
      </w:pPr>
      <w:r w:rsidRPr="00257D2D">
        <w:rPr>
          <w:b/>
          <w:bCs/>
          <w:color w:val="000000" w:themeColor="text1"/>
          <w:u w:val="single"/>
        </w:rPr>
        <w:t>Tentative Course</w:t>
      </w:r>
      <w:r w:rsidR="00146910" w:rsidRPr="00257D2D">
        <w:rPr>
          <w:b/>
          <w:bCs/>
          <w:color w:val="000000" w:themeColor="text1"/>
          <w:u w:val="single"/>
        </w:rPr>
        <w:t xml:space="preserve"> Outline</w:t>
      </w:r>
    </w:p>
    <w:p w14:paraId="4EEE0389" w14:textId="55285D47" w:rsidR="00146910" w:rsidRPr="00A4318D" w:rsidRDefault="00146910" w:rsidP="0034008F">
      <w:pPr>
        <w:pStyle w:val="NoSpacing"/>
        <w:rPr>
          <w:color w:val="000000" w:themeColor="text1"/>
        </w:rPr>
      </w:pPr>
    </w:p>
    <w:tbl>
      <w:tblPr>
        <w:tblStyle w:val="TableGrid"/>
        <w:tblW w:w="9451" w:type="dxa"/>
        <w:tblLook w:val="04A0" w:firstRow="1" w:lastRow="0" w:firstColumn="1" w:lastColumn="0" w:noHBand="0" w:noVBand="1"/>
      </w:tblPr>
      <w:tblGrid>
        <w:gridCol w:w="1165"/>
        <w:gridCol w:w="2615"/>
        <w:gridCol w:w="1890"/>
        <w:gridCol w:w="1890"/>
        <w:gridCol w:w="1891"/>
      </w:tblGrid>
      <w:tr w:rsidR="00A4318D" w:rsidRPr="00A4318D" w14:paraId="7BF5CB6A" w14:textId="77777777" w:rsidTr="00A639C9">
        <w:trPr>
          <w:trHeight w:val="537"/>
        </w:trPr>
        <w:tc>
          <w:tcPr>
            <w:tcW w:w="1165" w:type="dxa"/>
          </w:tcPr>
          <w:p w14:paraId="6BEFC71B" w14:textId="20590DE2" w:rsidR="00A639C9" w:rsidRPr="00A4318D" w:rsidRDefault="00A639C9" w:rsidP="0034008F">
            <w:pPr>
              <w:pStyle w:val="NoSpacing"/>
              <w:rPr>
                <w:color w:val="000000" w:themeColor="text1"/>
              </w:rPr>
            </w:pPr>
            <w:r w:rsidRPr="00A4318D">
              <w:rPr>
                <w:color w:val="000000" w:themeColor="text1"/>
              </w:rPr>
              <w:t>Date</w:t>
            </w:r>
          </w:p>
        </w:tc>
        <w:tc>
          <w:tcPr>
            <w:tcW w:w="2615" w:type="dxa"/>
          </w:tcPr>
          <w:p w14:paraId="68B64F4B" w14:textId="01E30EBE" w:rsidR="00A639C9" w:rsidRPr="00A4318D" w:rsidRDefault="007C50DB" w:rsidP="0034008F">
            <w:pPr>
              <w:pStyle w:val="NoSpacing"/>
              <w:rPr>
                <w:color w:val="000000" w:themeColor="text1"/>
              </w:rPr>
            </w:pPr>
            <w:r w:rsidRPr="00A4318D">
              <w:rPr>
                <w:color w:val="000000" w:themeColor="text1"/>
              </w:rPr>
              <w:t>Topic</w:t>
            </w:r>
          </w:p>
        </w:tc>
        <w:tc>
          <w:tcPr>
            <w:tcW w:w="1890" w:type="dxa"/>
          </w:tcPr>
          <w:p w14:paraId="350CCD15" w14:textId="26DEA466" w:rsidR="00A639C9" w:rsidRPr="00A4318D" w:rsidRDefault="00A639C9" w:rsidP="0034008F">
            <w:pPr>
              <w:pStyle w:val="NoSpacing"/>
              <w:rPr>
                <w:color w:val="000000" w:themeColor="text1"/>
              </w:rPr>
            </w:pPr>
            <w:r w:rsidRPr="00A4318D">
              <w:rPr>
                <w:color w:val="000000" w:themeColor="text1"/>
              </w:rPr>
              <w:t>Bible Reading</w:t>
            </w:r>
          </w:p>
        </w:tc>
        <w:tc>
          <w:tcPr>
            <w:tcW w:w="1890" w:type="dxa"/>
          </w:tcPr>
          <w:p w14:paraId="47247A7E" w14:textId="57229AA4" w:rsidR="00A639C9" w:rsidRPr="00A4318D" w:rsidRDefault="00A639C9" w:rsidP="0034008F">
            <w:pPr>
              <w:pStyle w:val="NoSpacing"/>
              <w:rPr>
                <w:color w:val="000000" w:themeColor="text1"/>
              </w:rPr>
            </w:pPr>
            <w:r w:rsidRPr="00A4318D">
              <w:rPr>
                <w:color w:val="000000" w:themeColor="text1"/>
              </w:rPr>
              <w:t>Secondary Reading</w:t>
            </w:r>
          </w:p>
        </w:tc>
        <w:tc>
          <w:tcPr>
            <w:tcW w:w="1891" w:type="dxa"/>
          </w:tcPr>
          <w:p w14:paraId="5D7C01C6" w14:textId="081B8B1F" w:rsidR="00A639C9" w:rsidRPr="00A4318D" w:rsidRDefault="00A639C9" w:rsidP="0034008F">
            <w:pPr>
              <w:pStyle w:val="NoSpacing"/>
              <w:rPr>
                <w:color w:val="000000" w:themeColor="text1"/>
              </w:rPr>
            </w:pPr>
            <w:r w:rsidRPr="00A4318D">
              <w:rPr>
                <w:color w:val="000000" w:themeColor="text1"/>
              </w:rPr>
              <w:t>Notes</w:t>
            </w:r>
            <w:r w:rsidR="007C50DB" w:rsidRPr="00A4318D">
              <w:rPr>
                <w:color w:val="000000" w:themeColor="text1"/>
              </w:rPr>
              <w:t xml:space="preserve"> &amp; Due Dates</w:t>
            </w:r>
          </w:p>
        </w:tc>
      </w:tr>
      <w:tr w:rsidR="00A4318D" w:rsidRPr="00A4318D" w14:paraId="64B0A2C3" w14:textId="77777777" w:rsidTr="00A639C9">
        <w:trPr>
          <w:trHeight w:val="276"/>
        </w:trPr>
        <w:tc>
          <w:tcPr>
            <w:tcW w:w="1165" w:type="dxa"/>
          </w:tcPr>
          <w:p w14:paraId="1F89A7B5" w14:textId="23E77453" w:rsidR="00A639C9" w:rsidRPr="00A4318D" w:rsidRDefault="00A639C9" w:rsidP="0034008F">
            <w:pPr>
              <w:pStyle w:val="NoSpacing"/>
              <w:rPr>
                <w:color w:val="000000" w:themeColor="text1"/>
              </w:rPr>
            </w:pPr>
            <w:r w:rsidRPr="00A4318D">
              <w:rPr>
                <w:color w:val="000000" w:themeColor="text1"/>
              </w:rPr>
              <w:t>Sep 13</w:t>
            </w:r>
          </w:p>
        </w:tc>
        <w:tc>
          <w:tcPr>
            <w:tcW w:w="2615" w:type="dxa"/>
          </w:tcPr>
          <w:p w14:paraId="7EF38A84" w14:textId="4C978609" w:rsidR="00A639C9" w:rsidRPr="00A4318D" w:rsidRDefault="00257D2D" w:rsidP="0034008F">
            <w:pPr>
              <w:pStyle w:val="NoSpacing"/>
              <w:rPr>
                <w:color w:val="000000" w:themeColor="text1"/>
              </w:rPr>
            </w:pPr>
            <w:r>
              <w:rPr>
                <w:color w:val="000000" w:themeColor="text1"/>
              </w:rPr>
              <w:t>Birth to ministry</w:t>
            </w:r>
          </w:p>
        </w:tc>
        <w:tc>
          <w:tcPr>
            <w:tcW w:w="1890" w:type="dxa"/>
          </w:tcPr>
          <w:p w14:paraId="6015D9E5" w14:textId="2823F233" w:rsidR="00A639C9" w:rsidRPr="00A4318D" w:rsidRDefault="00A639C9" w:rsidP="0034008F">
            <w:pPr>
              <w:pStyle w:val="NoSpacing"/>
              <w:rPr>
                <w:color w:val="000000" w:themeColor="text1"/>
              </w:rPr>
            </w:pPr>
            <w:r w:rsidRPr="00A4318D">
              <w:rPr>
                <w:color w:val="000000" w:themeColor="text1"/>
              </w:rPr>
              <w:t>Mt 1-5</w:t>
            </w:r>
          </w:p>
        </w:tc>
        <w:tc>
          <w:tcPr>
            <w:tcW w:w="1890" w:type="dxa"/>
          </w:tcPr>
          <w:p w14:paraId="41550E6B" w14:textId="11BB2774" w:rsidR="00A639C9" w:rsidRPr="00A4318D" w:rsidRDefault="00A639C9" w:rsidP="0034008F">
            <w:pPr>
              <w:pStyle w:val="NoSpacing"/>
              <w:rPr>
                <w:color w:val="000000" w:themeColor="text1"/>
              </w:rPr>
            </w:pPr>
            <w:r w:rsidRPr="00A4318D">
              <w:rPr>
                <w:color w:val="000000" w:themeColor="text1"/>
              </w:rPr>
              <w:t xml:space="preserve">Yancy, </w:t>
            </w:r>
            <w:proofErr w:type="spellStart"/>
            <w:r w:rsidRPr="00A4318D">
              <w:rPr>
                <w:color w:val="000000" w:themeColor="text1"/>
              </w:rPr>
              <w:t>ch</w:t>
            </w:r>
            <w:r w:rsidR="00257D2D">
              <w:rPr>
                <w:color w:val="000000" w:themeColor="text1"/>
              </w:rPr>
              <w:t>a</w:t>
            </w:r>
            <w:r w:rsidRPr="00A4318D">
              <w:rPr>
                <w:color w:val="000000" w:themeColor="text1"/>
              </w:rPr>
              <w:t>p</w:t>
            </w:r>
            <w:r w:rsidR="00257D2D">
              <w:rPr>
                <w:color w:val="000000" w:themeColor="text1"/>
              </w:rPr>
              <w:t>t</w:t>
            </w:r>
            <w:proofErr w:type="spellEnd"/>
            <w:r w:rsidR="00257D2D">
              <w:rPr>
                <w:color w:val="000000" w:themeColor="text1"/>
              </w:rPr>
              <w:t>.</w:t>
            </w:r>
            <w:r w:rsidRPr="00A4318D">
              <w:rPr>
                <w:color w:val="000000" w:themeColor="text1"/>
              </w:rPr>
              <w:t xml:space="preserve"> 1-2</w:t>
            </w:r>
          </w:p>
        </w:tc>
        <w:tc>
          <w:tcPr>
            <w:tcW w:w="1891" w:type="dxa"/>
          </w:tcPr>
          <w:p w14:paraId="7716EBBF" w14:textId="77777777" w:rsidR="00A639C9" w:rsidRPr="00A4318D" w:rsidRDefault="00A639C9" w:rsidP="0034008F">
            <w:pPr>
              <w:pStyle w:val="NoSpacing"/>
              <w:rPr>
                <w:color w:val="000000" w:themeColor="text1"/>
              </w:rPr>
            </w:pPr>
          </w:p>
        </w:tc>
      </w:tr>
      <w:tr w:rsidR="00A4318D" w:rsidRPr="00A4318D" w14:paraId="45DA5438" w14:textId="77777777" w:rsidTr="00A639C9">
        <w:trPr>
          <w:trHeight w:val="276"/>
        </w:trPr>
        <w:tc>
          <w:tcPr>
            <w:tcW w:w="1165" w:type="dxa"/>
          </w:tcPr>
          <w:p w14:paraId="6760F3F2" w14:textId="17336F88" w:rsidR="00A639C9" w:rsidRPr="00A4318D" w:rsidRDefault="00A639C9" w:rsidP="0034008F">
            <w:pPr>
              <w:pStyle w:val="NoSpacing"/>
              <w:rPr>
                <w:color w:val="000000" w:themeColor="text1"/>
              </w:rPr>
            </w:pPr>
            <w:r w:rsidRPr="00A4318D">
              <w:rPr>
                <w:color w:val="000000" w:themeColor="text1"/>
              </w:rPr>
              <w:t>Sept 20</w:t>
            </w:r>
          </w:p>
        </w:tc>
        <w:tc>
          <w:tcPr>
            <w:tcW w:w="2615" w:type="dxa"/>
          </w:tcPr>
          <w:p w14:paraId="0D7B7457" w14:textId="11809FED" w:rsidR="00A639C9" w:rsidRPr="00A4318D" w:rsidRDefault="00257D2D" w:rsidP="0034008F">
            <w:pPr>
              <w:pStyle w:val="NoSpacing"/>
              <w:rPr>
                <w:color w:val="000000" w:themeColor="text1"/>
              </w:rPr>
            </w:pPr>
            <w:r>
              <w:rPr>
                <w:color w:val="000000" w:themeColor="text1"/>
              </w:rPr>
              <w:t>Early ministry</w:t>
            </w:r>
          </w:p>
        </w:tc>
        <w:tc>
          <w:tcPr>
            <w:tcW w:w="1890" w:type="dxa"/>
          </w:tcPr>
          <w:p w14:paraId="542AF6E2" w14:textId="3671C279" w:rsidR="00A639C9" w:rsidRPr="00A4318D" w:rsidRDefault="007C50DB" w:rsidP="0034008F">
            <w:pPr>
              <w:pStyle w:val="NoSpacing"/>
              <w:rPr>
                <w:color w:val="000000" w:themeColor="text1"/>
              </w:rPr>
            </w:pPr>
            <w:r w:rsidRPr="00A4318D">
              <w:rPr>
                <w:color w:val="000000" w:themeColor="text1"/>
              </w:rPr>
              <w:t>Mt 6-9</w:t>
            </w:r>
          </w:p>
        </w:tc>
        <w:tc>
          <w:tcPr>
            <w:tcW w:w="1890" w:type="dxa"/>
          </w:tcPr>
          <w:p w14:paraId="0F4E2EAC" w14:textId="16CDCD88" w:rsidR="00A639C9" w:rsidRPr="00A4318D" w:rsidRDefault="007C50DB" w:rsidP="0034008F">
            <w:pPr>
              <w:pStyle w:val="NoSpacing"/>
              <w:rPr>
                <w:color w:val="000000" w:themeColor="text1"/>
              </w:rPr>
            </w:pPr>
            <w:r w:rsidRPr="00A4318D">
              <w:rPr>
                <w:color w:val="000000" w:themeColor="text1"/>
              </w:rPr>
              <w:t>Yancy, 3-5</w:t>
            </w:r>
          </w:p>
        </w:tc>
        <w:tc>
          <w:tcPr>
            <w:tcW w:w="1891" w:type="dxa"/>
          </w:tcPr>
          <w:p w14:paraId="4561258C" w14:textId="77777777" w:rsidR="00A639C9" w:rsidRPr="00A4318D" w:rsidRDefault="00A639C9" w:rsidP="0034008F">
            <w:pPr>
              <w:pStyle w:val="NoSpacing"/>
              <w:rPr>
                <w:color w:val="000000" w:themeColor="text1"/>
              </w:rPr>
            </w:pPr>
          </w:p>
        </w:tc>
      </w:tr>
      <w:tr w:rsidR="00A4318D" w:rsidRPr="00A4318D" w14:paraId="18C6C9B7" w14:textId="77777777" w:rsidTr="00A639C9">
        <w:trPr>
          <w:trHeight w:val="261"/>
        </w:trPr>
        <w:tc>
          <w:tcPr>
            <w:tcW w:w="1165" w:type="dxa"/>
          </w:tcPr>
          <w:p w14:paraId="63DDCF38" w14:textId="74F65509" w:rsidR="00A639C9" w:rsidRPr="00A4318D" w:rsidRDefault="00A639C9" w:rsidP="0034008F">
            <w:pPr>
              <w:pStyle w:val="NoSpacing"/>
              <w:rPr>
                <w:color w:val="000000" w:themeColor="text1"/>
              </w:rPr>
            </w:pPr>
            <w:r w:rsidRPr="00A4318D">
              <w:rPr>
                <w:color w:val="000000" w:themeColor="text1"/>
              </w:rPr>
              <w:t>Sept 27</w:t>
            </w:r>
          </w:p>
        </w:tc>
        <w:tc>
          <w:tcPr>
            <w:tcW w:w="2615" w:type="dxa"/>
          </w:tcPr>
          <w:p w14:paraId="4F63803E" w14:textId="5C3F8B8B" w:rsidR="00A639C9" w:rsidRPr="00A4318D" w:rsidRDefault="00257D2D" w:rsidP="0034008F">
            <w:pPr>
              <w:pStyle w:val="NoSpacing"/>
              <w:rPr>
                <w:color w:val="000000" w:themeColor="text1"/>
              </w:rPr>
            </w:pPr>
            <w:r>
              <w:rPr>
                <w:color w:val="000000" w:themeColor="text1"/>
              </w:rPr>
              <w:t>With the disciples</w:t>
            </w:r>
          </w:p>
        </w:tc>
        <w:tc>
          <w:tcPr>
            <w:tcW w:w="1890" w:type="dxa"/>
          </w:tcPr>
          <w:p w14:paraId="373BAFC1" w14:textId="755AE744" w:rsidR="00A639C9" w:rsidRPr="00A4318D" w:rsidRDefault="007C50DB" w:rsidP="0034008F">
            <w:pPr>
              <w:pStyle w:val="NoSpacing"/>
              <w:rPr>
                <w:color w:val="000000" w:themeColor="text1"/>
              </w:rPr>
            </w:pPr>
            <w:r w:rsidRPr="00A4318D">
              <w:rPr>
                <w:color w:val="000000" w:themeColor="text1"/>
              </w:rPr>
              <w:t>Mt 10-16</w:t>
            </w:r>
          </w:p>
        </w:tc>
        <w:tc>
          <w:tcPr>
            <w:tcW w:w="1890" w:type="dxa"/>
          </w:tcPr>
          <w:p w14:paraId="07D241CE" w14:textId="70528929" w:rsidR="00A639C9" w:rsidRPr="00A4318D" w:rsidRDefault="007C50DB" w:rsidP="0034008F">
            <w:pPr>
              <w:pStyle w:val="NoSpacing"/>
              <w:rPr>
                <w:color w:val="000000" w:themeColor="text1"/>
              </w:rPr>
            </w:pPr>
            <w:r w:rsidRPr="00A4318D">
              <w:rPr>
                <w:color w:val="000000" w:themeColor="text1"/>
              </w:rPr>
              <w:t>Yancy, 6-8</w:t>
            </w:r>
          </w:p>
        </w:tc>
        <w:tc>
          <w:tcPr>
            <w:tcW w:w="1891" w:type="dxa"/>
          </w:tcPr>
          <w:p w14:paraId="28332247" w14:textId="4D7382F6" w:rsidR="00A639C9" w:rsidRPr="00A4318D" w:rsidRDefault="003A23C5" w:rsidP="0034008F">
            <w:pPr>
              <w:pStyle w:val="NoSpacing"/>
              <w:rPr>
                <w:color w:val="000000" w:themeColor="text1"/>
              </w:rPr>
            </w:pPr>
            <w:r w:rsidRPr="00A4318D">
              <w:rPr>
                <w:color w:val="000000" w:themeColor="text1"/>
              </w:rPr>
              <w:t>First Essay</w:t>
            </w:r>
            <w:r>
              <w:rPr>
                <w:color w:val="000000" w:themeColor="text1"/>
              </w:rPr>
              <w:t xml:space="preserve"> Due</w:t>
            </w:r>
          </w:p>
        </w:tc>
      </w:tr>
      <w:tr w:rsidR="00A4318D" w:rsidRPr="00A4318D" w14:paraId="16855DE9" w14:textId="77777777" w:rsidTr="00A639C9">
        <w:trPr>
          <w:trHeight w:val="276"/>
        </w:trPr>
        <w:tc>
          <w:tcPr>
            <w:tcW w:w="1165" w:type="dxa"/>
          </w:tcPr>
          <w:p w14:paraId="1D3524E2" w14:textId="4E50E03E" w:rsidR="00A639C9" w:rsidRPr="00A4318D" w:rsidRDefault="00A639C9" w:rsidP="0034008F">
            <w:pPr>
              <w:pStyle w:val="NoSpacing"/>
              <w:rPr>
                <w:color w:val="000000" w:themeColor="text1"/>
              </w:rPr>
            </w:pPr>
            <w:r w:rsidRPr="00A4318D">
              <w:rPr>
                <w:color w:val="000000" w:themeColor="text1"/>
              </w:rPr>
              <w:t>October 4</w:t>
            </w:r>
          </w:p>
        </w:tc>
        <w:tc>
          <w:tcPr>
            <w:tcW w:w="2615" w:type="dxa"/>
          </w:tcPr>
          <w:p w14:paraId="1AD4BCCF" w14:textId="3A45523D" w:rsidR="00A639C9" w:rsidRPr="00A4318D" w:rsidRDefault="00A639C9" w:rsidP="0034008F">
            <w:pPr>
              <w:pStyle w:val="NoSpacing"/>
              <w:rPr>
                <w:color w:val="000000" w:themeColor="text1"/>
              </w:rPr>
            </w:pPr>
            <w:r w:rsidRPr="00A4318D">
              <w:rPr>
                <w:color w:val="000000" w:themeColor="text1"/>
              </w:rPr>
              <w:t xml:space="preserve">Review and </w:t>
            </w:r>
            <w:r w:rsidR="00257D2D">
              <w:rPr>
                <w:color w:val="000000" w:themeColor="text1"/>
              </w:rPr>
              <w:t>e</w:t>
            </w:r>
            <w:r w:rsidRPr="00A4318D">
              <w:rPr>
                <w:color w:val="000000" w:themeColor="text1"/>
              </w:rPr>
              <w:t>xam</w:t>
            </w:r>
          </w:p>
        </w:tc>
        <w:tc>
          <w:tcPr>
            <w:tcW w:w="1890" w:type="dxa"/>
          </w:tcPr>
          <w:p w14:paraId="6E5C0858" w14:textId="77777777" w:rsidR="00A639C9" w:rsidRPr="00A4318D" w:rsidRDefault="00A639C9" w:rsidP="0034008F">
            <w:pPr>
              <w:pStyle w:val="NoSpacing"/>
              <w:rPr>
                <w:color w:val="000000" w:themeColor="text1"/>
              </w:rPr>
            </w:pPr>
          </w:p>
        </w:tc>
        <w:tc>
          <w:tcPr>
            <w:tcW w:w="1890" w:type="dxa"/>
          </w:tcPr>
          <w:p w14:paraId="5BB90C2E" w14:textId="77777777" w:rsidR="00A639C9" w:rsidRPr="00A4318D" w:rsidRDefault="00A639C9" w:rsidP="0034008F">
            <w:pPr>
              <w:pStyle w:val="NoSpacing"/>
              <w:rPr>
                <w:color w:val="000000" w:themeColor="text1"/>
              </w:rPr>
            </w:pPr>
          </w:p>
        </w:tc>
        <w:tc>
          <w:tcPr>
            <w:tcW w:w="1891" w:type="dxa"/>
          </w:tcPr>
          <w:p w14:paraId="6515366C" w14:textId="09CBCE9A" w:rsidR="00A639C9" w:rsidRPr="00A4318D" w:rsidRDefault="00A639C9" w:rsidP="0034008F">
            <w:pPr>
              <w:pStyle w:val="NoSpacing"/>
              <w:rPr>
                <w:color w:val="000000" w:themeColor="text1"/>
              </w:rPr>
            </w:pPr>
            <w:r w:rsidRPr="00A4318D">
              <w:rPr>
                <w:color w:val="000000" w:themeColor="text1"/>
              </w:rPr>
              <w:t>Mid Term</w:t>
            </w:r>
          </w:p>
        </w:tc>
      </w:tr>
      <w:tr w:rsidR="00A4318D" w:rsidRPr="00A4318D" w14:paraId="7705B84F" w14:textId="77777777" w:rsidTr="00A639C9">
        <w:trPr>
          <w:trHeight w:val="261"/>
        </w:trPr>
        <w:tc>
          <w:tcPr>
            <w:tcW w:w="1165" w:type="dxa"/>
          </w:tcPr>
          <w:p w14:paraId="157073DC" w14:textId="09FDDEFA" w:rsidR="00A639C9" w:rsidRPr="00A4318D" w:rsidRDefault="00A639C9" w:rsidP="0034008F">
            <w:pPr>
              <w:pStyle w:val="NoSpacing"/>
              <w:rPr>
                <w:color w:val="000000" w:themeColor="text1"/>
              </w:rPr>
            </w:pPr>
            <w:r w:rsidRPr="00A4318D">
              <w:rPr>
                <w:color w:val="000000" w:themeColor="text1"/>
              </w:rPr>
              <w:t>Oct 11</w:t>
            </w:r>
          </w:p>
        </w:tc>
        <w:tc>
          <w:tcPr>
            <w:tcW w:w="2615" w:type="dxa"/>
          </w:tcPr>
          <w:p w14:paraId="16198BF3" w14:textId="0727EF0C" w:rsidR="00A639C9" w:rsidRPr="00A4318D" w:rsidRDefault="00A639C9" w:rsidP="0034008F">
            <w:pPr>
              <w:pStyle w:val="NoSpacing"/>
              <w:rPr>
                <w:color w:val="000000" w:themeColor="text1"/>
              </w:rPr>
            </w:pPr>
            <w:r w:rsidRPr="00A4318D">
              <w:rPr>
                <w:color w:val="000000" w:themeColor="text1"/>
              </w:rPr>
              <w:t>NO C</w:t>
            </w:r>
            <w:r w:rsidR="00E924F8">
              <w:rPr>
                <w:color w:val="000000" w:themeColor="text1"/>
              </w:rPr>
              <w:t>LASS</w:t>
            </w:r>
          </w:p>
        </w:tc>
        <w:tc>
          <w:tcPr>
            <w:tcW w:w="1890" w:type="dxa"/>
          </w:tcPr>
          <w:p w14:paraId="6D1AB8A0" w14:textId="77777777" w:rsidR="00A639C9" w:rsidRPr="00A4318D" w:rsidRDefault="00A639C9" w:rsidP="0034008F">
            <w:pPr>
              <w:pStyle w:val="NoSpacing"/>
              <w:rPr>
                <w:color w:val="000000" w:themeColor="text1"/>
              </w:rPr>
            </w:pPr>
          </w:p>
        </w:tc>
        <w:tc>
          <w:tcPr>
            <w:tcW w:w="1890" w:type="dxa"/>
          </w:tcPr>
          <w:p w14:paraId="3529B9AD" w14:textId="77777777" w:rsidR="00A639C9" w:rsidRPr="00A4318D" w:rsidRDefault="00A639C9" w:rsidP="0034008F">
            <w:pPr>
              <w:pStyle w:val="NoSpacing"/>
              <w:rPr>
                <w:color w:val="000000" w:themeColor="text1"/>
              </w:rPr>
            </w:pPr>
          </w:p>
        </w:tc>
        <w:tc>
          <w:tcPr>
            <w:tcW w:w="1891" w:type="dxa"/>
          </w:tcPr>
          <w:p w14:paraId="1CC4FCE3" w14:textId="77777777" w:rsidR="00A639C9" w:rsidRPr="00A4318D" w:rsidRDefault="00A639C9" w:rsidP="0034008F">
            <w:pPr>
              <w:pStyle w:val="NoSpacing"/>
              <w:rPr>
                <w:color w:val="000000" w:themeColor="text1"/>
              </w:rPr>
            </w:pPr>
          </w:p>
        </w:tc>
      </w:tr>
      <w:tr w:rsidR="00A4318D" w:rsidRPr="00A4318D" w14:paraId="2050EB1D" w14:textId="77777777" w:rsidTr="00A639C9">
        <w:trPr>
          <w:trHeight w:val="276"/>
        </w:trPr>
        <w:tc>
          <w:tcPr>
            <w:tcW w:w="1165" w:type="dxa"/>
          </w:tcPr>
          <w:p w14:paraId="317CA948" w14:textId="31135A5E" w:rsidR="00A639C9" w:rsidRPr="00A4318D" w:rsidRDefault="00A639C9" w:rsidP="0034008F">
            <w:pPr>
              <w:pStyle w:val="NoSpacing"/>
              <w:rPr>
                <w:color w:val="000000" w:themeColor="text1"/>
              </w:rPr>
            </w:pPr>
            <w:r w:rsidRPr="00A4318D">
              <w:rPr>
                <w:color w:val="000000" w:themeColor="text1"/>
              </w:rPr>
              <w:t>Oct 18</w:t>
            </w:r>
          </w:p>
        </w:tc>
        <w:tc>
          <w:tcPr>
            <w:tcW w:w="2615" w:type="dxa"/>
          </w:tcPr>
          <w:p w14:paraId="16770F4B" w14:textId="0942C906" w:rsidR="00A639C9" w:rsidRPr="00A4318D" w:rsidRDefault="00257D2D" w:rsidP="0034008F">
            <w:pPr>
              <w:pStyle w:val="NoSpacing"/>
              <w:rPr>
                <w:color w:val="000000" w:themeColor="text1"/>
              </w:rPr>
            </w:pPr>
            <w:r>
              <w:rPr>
                <w:color w:val="000000" w:themeColor="text1"/>
              </w:rPr>
              <w:t>Before the passion</w:t>
            </w:r>
          </w:p>
        </w:tc>
        <w:tc>
          <w:tcPr>
            <w:tcW w:w="1890" w:type="dxa"/>
          </w:tcPr>
          <w:p w14:paraId="70926571" w14:textId="7782A7A8" w:rsidR="00A639C9" w:rsidRPr="00A4318D" w:rsidRDefault="007C50DB" w:rsidP="0034008F">
            <w:pPr>
              <w:pStyle w:val="NoSpacing"/>
              <w:rPr>
                <w:color w:val="000000" w:themeColor="text1"/>
              </w:rPr>
            </w:pPr>
            <w:r w:rsidRPr="00A4318D">
              <w:rPr>
                <w:color w:val="000000" w:themeColor="text1"/>
              </w:rPr>
              <w:t>Mt 17-23</w:t>
            </w:r>
          </w:p>
        </w:tc>
        <w:tc>
          <w:tcPr>
            <w:tcW w:w="1890" w:type="dxa"/>
          </w:tcPr>
          <w:p w14:paraId="3B4A9EE8" w14:textId="2964D0EC" w:rsidR="00A639C9" w:rsidRPr="00A4318D" w:rsidRDefault="007C50DB" w:rsidP="0034008F">
            <w:pPr>
              <w:pStyle w:val="NoSpacing"/>
              <w:rPr>
                <w:color w:val="000000" w:themeColor="text1"/>
              </w:rPr>
            </w:pPr>
            <w:r w:rsidRPr="00A4318D">
              <w:rPr>
                <w:color w:val="000000" w:themeColor="text1"/>
              </w:rPr>
              <w:t>Yancy, 9-11</w:t>
            </w:r>
          </w:p>
        </w:tc>
        <w:tc>
          <w:tcPr>
            <w:tcW w:w="1891" w:type="dxa"/>
          </w:tcPr>
          <w:p w14:paraId="38BEF1B0" w14:textId="5A172970" w:rsidR="00A639C9" w:rsidRPr="00A4318D" w:rsidRDefault="007C50DB" w:rsidP="0034008F">
            <w:pPr>
              <w:pStyle w:val="NoSpacing"/>
              <w:rPr>
                <w:color w:val="000000" w:themeColor="text1"/>
              </w:rPr>
            </w:pPr>
            <w:r w:rsidRPr="00A4318D">
              <w:rPr>
                <w:color w:val="000000" w:themeColor="text1"/>
              </w:rPr>
              <w:t xml:space="preserve"> </w:t>
            </w:r>
          </w:p>
        </w:tc>
      </w:tr>
      <w:tr w:rsidR="00A4318D" w:rsidRPr="00A4318D" w14:paraId="043A029B" w14:textId="77777777" w:rsidTr="00A639C9">
        <w:trPr>
          <w:trHeight w:val="261"/>
        </w:trPr>
        <w:tc>
          <w:tcPr>
            <w:tcW w:w="1165" w:type="dxa"/>
          </w:tcPr>
          <w:p w14:paraId="5B587653" w14:textId="1F45D952" w:rsidR="00A639C9" w:rsidRPr="00A4318D" w:rsidRDefault="007C50DB" w:rsidP="0034008F">
            <w:pPr>
              <w:pStyle w:val="NoSpacing"/>
              <w:rPr>
                <w:color w:val="000000" w:themeColor="text1"/>
              </w:rPr>
            </w:pPr>
            <w:r w:rsidRPr="00A4318D">
              <w:rPr>
                <w:color w:val="000000" w:themeColor="text1"/>
              </w:rPr>
              <w:t>Oct 25</w:t>
            </w:r>
          </w:p>
        </w:tc>
        <w:tc>
          <w:tcPr>
            <w:tcW w:w="2615" w:type="dxa"/>
          </w:tcPr>
          <w:p w14:paraId="6BC0303B" w14:textId="6D0642D5" w:rsidR="00A639C9" w:rsidRPr="00A4318D" w:rsidRDefault="007C50DB" w:rsidP="0034008F">
            <w:pPr>
              <w:pStyle w:val="NoSpacing"/>
              <w:rPr>
                <w:color w:val="000000" w:themeColor="text1"/>
              </w:rPr>
            </w:pPr>
            <w:r w:rsidRPr="00A4318D">
              <w:rPr>
                <w:color w:val="000000" w:themeColor="text1"/>
              </w:rPr>
              <w:t>NO CLASS</w:t>
            </w:r>
          </w:p>
        </w:tc>
        <w:tc>
          <w:tcPr>
            <w:tcW w:w="1890" w:type="dxa"/>
          </w:tcPr>
          <w:p w14:paraId="47073EB8" w14:textId="77777777" w:rsidR="00A639C9" w:rsidRPr="00A4318D" w:rsidRDefault="00A639C9" w:rsidP="0034008F">
            <w:pPr>
              <w:pStyle w:val="NoSpacing"/>
              <w:rPr>
                <w:color w:val="000000" w:themeColor="text1"/>
              </w:rPr>
            </w:pPr>
          </w:p>
        </w:tc>
        <w:tc>
          <w:tcPr>
            <w:tcW w:w="1890" w:type="dxa"/>
          </w:tcPr>
          <w:p w14:paraId="7BFDF946" w14:textId="77777777" w:rsidR="00A639C9" w:rsidRPr="00A4318D" w:rsidRDefault="00A639C9" w:rsidP="0034008F">
            <w:pPr>
              <w:pStyle w:val="NoSpacing"/>
              <w:rPr>
                <w:color w:val="000000" w:themeColor="text1"/>
              </w:rPr>
            </w:pPr>
          </w:p>
        </w:tc>
        <w:tc>
          <w:tcPr>
            <w:tcW w:w="1891" w:type="dxa"/>
          </w:tcPr>
          <w:p w14:paraId="5950E9DD" w14:textId="77777777" w:rsidR="00A639C9" w:rsidRPr="00A4318D" w:rsidRDefault="00A639C9" w:rsidP="0034008F">
            <w:pPr>
              <w:pStyle w:val="NoSpacing"/>
              <w:rPr>
                <w:color w:val="000000" w:themeColor="text1"/>
              </w:rPr>
            </w:pPr>
          </w:p>
        </w:tc>
      </w:tr>
      <w:tr w:rsidR="00A4318D" w:rsidRPr="00A4318D" w14:paraId="0F985E54" w14:textId="77777777" w:rsidTr="00A639C9">
        <w:trPr>
          <w:trHeight w:val="261"/>
        </w:trPr>
        <w:tc>
          <w:tcPr>
            <w:tcW w:w="1165" w:type="dxa"/>
          </w:tcPr>
          <w:p w14:paraId="00E9749E" w14:textId="0FDAB757" w:rsidR="00A639C9" w:rsidRPr="00A4318D" w:rsidRDefault="007C50DB" w:rsidP="0034008F">
            <w:pPr>
              <w:pStyle w:val="NoSpacing"/>
              <w:rPr>
                <w:color w:val="000000" w:themeColor="text1"/>
              </w:rPr>
            </w:pPr>
            <w:r w:rsidRPr="00A4318D">
              <w:rPr>
                <w:color w:val="000000" w:themeColor="text1"/>
              </w:rPr>
              <w:t>Nov 1</w:t>
            </w:r>
          </w:p>
        </w:tc>
        <w:tc>
          <w:tcPr>
            <w:tcW w:w="2615" w:type="dxa"/>
          </w:tcPr>
          <w:p w14:paraId="172B8E8B" w14:textId="7B2041A7" w:rsidR="00A639C9" w:rsidRPr="00A4318D" w:rsidRDefault="00257D2D" w:rsidP="0034008F">
            <w:pPr>
              <w:pStyle w:val="NoSpacing"/>
              <w:rPr>
                <w:color w:val="000000" w:themeColor="text1"/>
              </w:rPr>
            </w:pPr>
            <w:r>
              <w:rPr>
                <w:color w:val="000000" w:themeColor="text1"/>
              </w:rPr>
              <w:t>Passion and resurrection</w:t>
            </w:r>
          </w:p>
        </w:tc>
        <w:tc>
          <w:tcPr>
            <w:tcW w:w="1890" w:type="dxa"/>
          </w:tcPr>
          <w:p w14:paraId="7D08265D" w14:textId="5D4FE644" w:rsidR="00A639C9" w:rsidRPr="00A4318D" w:rsidRDefault="007C50DB" w:rsidP="0034008F">
            <w:pPr>
              <w:pStyle w:val="NoSpacing"/>
              <w:rPr>
                <w:color w:val="000000" w:themeColor="text1"/>
              </w:rPr>
            </w:pPr>
            <w:r w:rsidRPr="00A4318D">
              <w:rPr>
                <w:color w:val="000000" w:themeColor="text1"/>
              </w:rPr>
              <w:t>Mt 24-28</w:t>
            </w:r>
          </w:p>
        </w:tc>
        <w:tc>
          <w:tcPr>
            <w:tcW w:w="1890" w:type="dxa"/>
          </w:tcPr>
          <w:p w14:paraId="3CB4A825" w14:textId="1BAFBE49" w:rsidR="00A639C9" w:rsidRPr="00A4318D" w:rsidRDefault="007C50DB" w:rsidP="0034008F">
            <w:pPr>
              <w:pStyle w:val="NoSpacing"/>
              <w:rPr>
                <w:color w:val="000000" w:themeColor="text1"/>
              </w:rPr>
            </w:pPr>
            <w:r w:rsidRPr="00A4318D">
              <w:rPr>
                <w:color w:val="000000" w:themeColor="text1"/>
              </w:rPr>
              <w:t>Yancy, 12-14</w:t>
            </w:r>
          </w:p>
        </w:tc>
        <w:tc>
          <w:tcPr>
            <w:tcW w:w="1891" w:type="dxa"/>
          </w:tcPr>
          <w:p w14:paraId="79A37A51" w14:textId="77777777" w:rsidR="00A639C9" w:rsidRPr="00A4318D" w:rsidRDefault="00A639C9" w:rsidP="0034008F">
            <w:pPr>
              <w:pStyle w:val="NoSpacing"/>
              <w:rPr>
                <w:color w:val="000000" w:themeColor="text1"/>
              </w:rPr>
            </w:pPr>
          </w:p>
        </w:tc>
      </w:tr>
      <w:tr w:rsidR="00A4318D" w:rsidRPr="00A4318D" w14:paraId="7AAC18DE" w14:textId="77777777" w:rsidTr="00A639C9">
        <w:trPr>
          <w:trHeight w:val="261"/>
        </w:trPr>
        <w:tc>
          <w:tcPr>
            <w:tcW w:w="1165" w:type="dxa"/>
          </w:tcPr>
          <w:p w14:paraId="3D8D5EC3" w14:textId="7FD5563D" w:rsidR="00A639C9" w:rsidRPr="00A4318D" w:rsidRDefault="007C50DB" w:rsidP="0034008F">
            <w:pPr>
              <w:pStyle w:val="NoSpacing"/>
              <w:rPr>
                <w:color w:val="000000" w:themeColor="text1"/>
              </w:rPr>
            </w:pPr>
            <w:r w:rsidRPr="00A4318D">
              <w:rPr>
                <w:color w:val="000000" w:themeColor="text1"/>
              </w:rPr>
              <w:t>Nov 8</w:t>
            </w:r>
          </w:p>
        </w:tc>
        <w:tc>
          <w:tcPr>
            <w:tcW w:w="2615" w:type="dxa"/>
          </w:tcPr>
          <w:p w14:paraId="73793A53" w14:textId="7314CEB0" w:rsidR="00A639C9" w:rsidRPr="00A4318D" w:rsidRDefault="00257D2D" w:rsidP="0034008F">
            <w:pPr>
              <w:pStyle w:val="NoSpacing"/>
              <w:rPr>
                <w:color w:val="000000" w:themeColor="text1"/>
              </w:rPr>
            </w:pPr>
            <w:r>
              <w:rPr>
                <w:color w:val="000000" w:themeColor="text1"/>
              </w:rPr>
              <w:t>After the resurrection</w:t>
            </w:r>
          </w:p>
        </w:tc>
        <w:tc>
          <w:tcPr>
            <w:tcW w:w="1890" w:type="dxa"/>
          </w:tcPr>
          <w:p w14:paraId="0CBF7A0B" w14:textId="05B4ED99" w:rsidR="00A639C9" w:rsidRPr="00A4318D" w:rsidRDefault="007C50DB" w:rsidP="0034008F">
            <w:pPr>
              <w:pStyle w:val="NoSpacing"/>
              <w:rPr>
                <w:color w:val="000000" w:themeColor="text1"/>
              </w:rPr>
            </w:pPr>
            <w:r w:rsidRPr="00A4318D">
              <w:rPr>
                <w:color w:val="000000" w:themeColor="text1"/>
              </w:rPr>
              <w:t>Acts 1-2</w:t>
            </w:r>
          </w:p>
        </w:tc>
        <w:tc>
          <w:tcPr>
            <w:tcW w:w="1890" w:type="dxa"/>
          </w:tcPr>
          <w:p w14:paraId="28B99D16" w14:textId="77777777" w:rsidR="00A639C9" w:rsidRPr="00A4318D" w:rsidRDefault="00A639C9" w:rsidP="0034008F">
            <w:pPr>
              <w:pStyle w:val="NoSpacing"/>
              <w:rPr>
                <w:color w:val="000000" w:themeColor="text1"/>
              </w:rPr>
            </w:pPr>
          </w:p>
        </w:tc>
        <w:tc>
          <w:tcPr>
            <w:tcW w:w="1891" w:type="dxa"/>
          </w:tcPr>
          <w:p w14:paraId="73CC2B75" w14:textId="2FDB120F" w:rsidR="00A639C9" w:rsidRPr="00A4318D" w:rsidRDefault="007C50DB" w:rsidP="0034008F">
            <w:pPr>
              <w:pStyle w:val="NoSpacing"/>
              <w:rPr>
                <w:color w:val="000000" w:themeColor="text1"/>
              </w:rPr>
            </w:pPr>
            <w:r w:rsidRPr="00A4318D">
              <w:rPr>
                <w:color w:val="000000" w:themeColor="text1"/>
              </w:rPr>
              <w:t xml:space="preserve">Second Essay </w:t>
            </w:r>
            <w:r w:rsidR="00A703E2">
              <w:rPr>
                <w:color w:val="000000" w:themeColor="text1"/>
              </w:rPr>
              <w:t>Due</w:t>
            </w:r>
          </w:p>
        </w:tc>
      </w:tr>
      <w:tr w:rsidR="00A4318D" w:rsidRPr="00A4318D" w14:paraId="0AA56974" w14:textId="77777777" w:rsidTr="00A639C9">
        <w:trPr>
          <w:trHeight w:val="261"/>
        </w:trPr>
        <w:tc>
          <w:tcPr>
            <w:tcW w:w="1165" w:type="dxa"/>
          </w:tcPr>
          <w:p w14:paraId="120F53FB" w14:textId="79CDE66B" w:rsidR="007C50DB" w:rsidRPr="00A4318D" w:rsidRDefault="007C50DB" w:rsidP="0034008F">
            <w:pPr>
              <w:pStyle w:val="NoSpacing"/>
              <w:rPr>
                <w:color w:val="000000" w:themeColor="text1"/>
              </w:rPr>
            </w:pPr>
            <w:r w:rsidRPr="00A4318D">
              <w:rPr>
                <w:color w:val="000000" w:themeColor="text1"/>
              </w:rPr>
              <w:t>Nov 15</w:t>
            </w:r>
          </w:p>
        </w:tc>
        <w:tc>
          <w:tcPr>
            <w:tcW w:w="2615" w:type="dxa"/>
          </w:tcPr>
          <w:p w14:paraId="711585D1" w14:textId="51D526A2" w:rsidR="007C50DB" w:rsidRPr="00A4318D" w:rsidRDefault="007C50DB" w:rsidP="0034008F">
            <w:pPr>
              <w:pStyle w:val="NoSpacing"/>
              <w:rPr>
                <w:color w:val="000000" w:themeColor="text1"/>
              </w:rPr>
            </w:pPr>
            <w:r w:rsidRPr="00A4318D">
              <w:rPr>
                <w:color w:val="000000" w:themeColor="text1"/>
              </w:rPr>
              <w:t xml:space="preserve">Review and </w:t>
            </w:r>
            <w:r w:rsidR="00257D2D">
              <w:rPr>
                <w:color w:val="000000" w:themeColor="text1"/>
              </w:rPr>
              <w:t>e</w:t>
            </w:r>
            <w:r w:rsidRPr="00A4318D">
              <w:rPr>
                <w:color w:val="000000" w:themeColor="text1"/>
              </w:rPr>
              <w:t>xam</w:t>
            </w:r>
          </w:p>
        </w:tc>
        <w:tc>
          <w:tcPr>
            <w:tcW w:w="1890" w:type="dxa"/>
          </w:tcPr>
          <w:p w14:paraId="61BBA79F" w14:textId="77777777" w:rsidR="007C50DB" w:rsidRPr="00A4318D" w:rsidRDefault="007C50DB" w:rsidP="0034008F">
            <w:pPr>
              <w:pStyle w:val="NoSpacing"/>
              <w:rPr>
                <w:color w:val="000000" w:themeColor="text1"/>
              </w:rPr>
            </w:pPr>
          </w:p>
        </w:tc>
        <w:tc>
          <w:tcPr>
            <w:tcW w:w="1890" w:type="dxa"/>
          </w:tcPr>
          <w:p w14:paraId="771A72F9" w14:textId="77777777" w:rsidR="007C50DB" w:rsidRPr="00A4318D" w:rsidRDefault="007C50DB" w:rsidP="0034008F">
            <w:pPr>
              <w:pStyle w:val="NoSpacing"/>
              <w:rPr>
                <w:color w:val="000000" w:themeColor="text1"/>
              </w:rPr>
            </w:pPr>
          </w:p>
        </w:tc>
        <w:tc>
          <w:tcPr>
            <w:tcW w:w="1891" w:type="dxa"/>
          </w:tcPr>
          <w:p w14:paraId="4CB9B018" w14:textId="55410D61" w:rsidR="007C50DB" w:rsidRPr="00A4318D" w:rsidRDefault="00943CCC" w:rsidP="0034008F">
            <w:pPr>
              <w:pStyle w:val="NoSpacing"/>
              <w:rPr>
                <w:color w:val="000000" w:themeColor="text1"/>
              </w:rPr>
            </w:pPr>
            <w:r>
              <w:rPr>
                <w:color w:val="000000" w:themeColor="text1"/>
              </w:rPr>
              <w:t>Final Exam</w:t>
            </w:r>
          </w:p>
        </w:tc>
      </w:tr>
    </w:tbl>
    <w:p w14:paraId="3D7151AD" w14:textId="77777777" w:rsidR="00A639C9" w:rsidRPr="00146910" w:rsidRDefault="00A639C9" w:rsidP="0034008F">
      <w:pPr>
        <w:pStyle w:val="NoSpacing"/>
        <w:rPr>
          <w:color w:val="FF0000"/>
        </w:rPr>
      </w:pPr>
    </w:p>
    <w:p w14:paraId="55FA16EA" w14:textId="764DEDA4" w:rsidR="00464179" w:rsidRDefault="00464179" w:rsidP="0034008F">
      <w:pPr>
        <w:pStyle w:val="NoSpacing"/>
        <w:rPr>
          <w:b/>
          <w:bCs/>
          <w:u w:val="single"/>
        </w:rPr>
      </w:pPr>
    </w:p>
    <w:p w14:paraId="7B7E291E" w14:textId="77777777" w:rsidR="000730BF" w:rsidRDefault="000730BF">
      <w:pPr>
        <w:rPr>
          <w:color w:val="FF0000"/>
        </w:rPr>
      </w:pPr>
    </w:p>
    <w:p w14:paraId="7E6E3E4C" w14:textId="77777777" w:rsidR="000730BF" w:rsidRDefault="000730BF">
      <w:pPr>
        <w:rPr>
          <w:color w:val="FF0000"/>
        </w:rPr>
      </w:pPr>
    </w:p>
    <w:p w14:paraId="2713FA8D" w14:textId="53F87A07" w:rsidR="00146910" w:rsidRDefault="00146910">
      <w:r>
        <w:br w:type="page"/>
      </w:r>
    </w:p>
    <w:p w14:paraId="6D9C5710" w14:textId="77777777" w:rsidR="00146910" w:rsidRPr="009C7555" w:rsidRDefault="00146910" w:rsidP="00146910">
      <w:pPr>
        <w:jc w:val="center"/>
        <w:rPr>
          <w:b/>
          <w:sz w:val="28"/>
          <w:szCs w:val="28"/>
        </w:rPr>
      </w:pPr>
      <w:r w:rsidRPr="009C7555">
        <w:rPr>
          <w:b/>
          <w:sz w:val="28"/>
          <w:szCs w:val="28"/>
        </w:rPr>
        <w:lastRenderedPageBreak/>
        <w:t>Appendix I</w:t>
      </w:r>
    </w:p>
    <w:p w14:paraId="634E7D31" w14:textId="1EE978C5" w:rsidR="000730BF" w:rsidRPr="009C7555" w:rsidRDefault="00146910" w:rsidP="00146910">
      <w:pPr>
        <w:jc w:val="center"/>
        <w:rPr>
          <w:bCs/>
        </w:rPr>
      </w:pPr>
      <w:r w:rsidRPr="00146910">
        <w:rPr>
          <w:bCs/>
        </w:rPr>
        <w:t>Oklahoma Christian University Polic</w:t>
      </w:r>
      <w:r w:rsidR="000730BF" w:rsidRPr="009C7555">
        <w:rPr>
          <w:bCs/>
        </w:rPr>
        <w:t xml:space="preserve">ies on </w:t>
      </w:r>
      <w:r w:rsidRPr="00146910">
        <w:rPr>
          <w:bCs/>
        </w:rPr>
        <w:t>Academic Honesty</w:t>
      </w:r>
      <w:r w:rsidR="000730BF" w:rsidRPr="009C7555">
        <w:rPr>
          <w:bCs/>
        </w:rPr>
        <w:t>, ADA, and Sexual Misconduct Policy</w:t>
      </w:r>
    </w:p>
    <w:p w14:paraId="38A7F512" w14:textId="77777777" w:rsidR="009C7555" w:rsidRDefault="009C7555" w:rsidP="00146910">
      <w:pPr>
        <w:jc w:val="center"/>
        <w:rPr>
          <w:b/>
        </w:rPr>
      </w:pPr>
    </w:p>
    <w:p w14:paraId="027DD41E" w14:textId="77777777" w:rsidR="009C7555" w:rsidRDefault="009C7555" w:rsidP="00146910">
      <w:pPr>
        <w:jc w:val="center"/>
        <w:rPr>
          <w:b/>
        </w:rPr>
      </w:pPr>
    </w:p>
    <w:p w14:paraId="030FAB45" w14:textId="708DAD4C" w:rsidR="000730BF" w:rsidRPr="00146910" w:rsidRDefault="000730BF" w:rsidP="00146910">
      <w:pPr>
        <w:jc w:val="center"/>
        <w:rPr>
          <w:b/>
          <w:i/>
          <w:iCs/>
        </w:rPr>
      </w:pPr>
      <w:r w:rsidRPr="009C7555">
        <w:rPr>
          <w:b/>
          <w:i/>
          <w:iCs/>
        </w:rPr>
        <w:t xml:space="preserve">Academic </w:t>
      </w:r>
      <w:r w:rsidR="009C7555">
        <w:rPr>
          <w:b/>
          <w:i/>
          <w:iCs/>
        </w:rPr>
        <w:t>H</w:t>
      </w:r>
      <w:r w:rsidRPr="009C7555">
        <w:rPr>
          <w:b/>
          <w:i/>
          <w:iCs/>
        </w:rPr>
        <w:t>onesty</w:t>
      </w:r>
    </w:p>
    <w:p w14:paraId="53F13888" w14:textId="77777777" w:rsidR="00146910" w:rsidRPr="00146910" w:rsidRDefault="00146910" w:rsidP="00146910">
      <w:pPr>
        <w:rPr>
          <w:b/>
          <w:i/>
          <w:iCs/>
        </w:rPr>
      </w:pPr>
    </w:p>
    <w:p w14:paraId="6812A29A" w14:textId="77777777" w:rsidR="00146910" w:rsidRPr="00146910" w:rsidRDefault="00146910" w:rsidP="00146910">
      <w:pPr>
        <w:rPr>
          <w:b/>
          <w:i/>
          <w:iCs/>
        </w:rPr>
      </w:pPr>
      <w:r w:rsidRPr="00146910">
        <w:rPr>
          <w:b/>
          <w:i/>
          <w:iCs/>
        </w:rPr>
        <w:t>Cheating</w:t>
      </w:r>
    </w:p>
    <w:p w14:paraId="2DF4EF0C" w14:textId="77777777" w:rsidR="00146910" w:rsidRPr="00146910" w:rsidRDefault="00146910" w:rsidP="00146910">
      <w:pPr>
        <w:rPr>
          <w:i/>
          <w:iCs/>
        </w:rPr>
      </w:pPr>
      <w:r w:rsidRPr="00146910">
        <w:rPr>
          <w:i/>
          <w:iCs/>
        </w:rPr>
        <w:t>Cheating on an examination, assignment, roll sheet or other course related work or activities undermines the ethics of the academy and the specific Christian purposes of Oklahoma Christian University. Accordingly, students who cheat on examinations, assignments or other course related work or activities will face serious consequences, as outlined in this policy.</w:t>
      </w:r>
    </w:p>
    <w:p w14:paraId="288377ED" w14:textId="77777777" w:rsidR="00146910" w:rsidRPr="00146910" w:rsidRDefault="00146910" w:rsidP="00146910">
      <w:pPr>
        <w:rPr>
          <w:b/>
          <w:i/>
          <w:iCs/>
        </w:rPr>
      </w:pPr>
      <w:r w:rsidRPr="00146910">
        <w:rPr>
          <w:b/>
          <w:i/>
          <w:iCs/>
        </w:rPr>
        <w:t>Plagiarism</w:t>
      </w:r>
    </w:p>
    <w:p w14:paraId="569C8D66" w14:textId="77777777" w:rsidR="00146910" w:rsidRPr="00146910" w:rsidRDefault="00146910" w:rsidP="00146910">
      <w:pPr>
        <w:rPr>
          <w:i/>
          <w:iCs/>
        </w:rPr>
      </w:pPr>
      <w:r w:rsidRPr="00146910">
        <w:rPr>
          <w:i/>
          <w:iCs/>
        </w:rPr>
        <w:t>One particular form of cheating is plagiarism. Plagiarism is the transmission of another’s ideas, words, or materials as one’s own and/or the failure to credit accurately the ideas, words, or materials of another. Plagiarism also includes passing off another’s work (a friend, a parent, a website) as one’s own. Plagiarism undermines the ethics of the academy and the specific Christian purposes of Oklahoma Christian University. Accordingly, students who engage in plagiarism in assignments submitted will face serious consequences, as outlined in this policy.</w:t>
      </w:r>
    </w:p>
    <w:p w14:paraId="4EE954C6" w14:textId="77777777" w:rsidR="00146910" w:rsidRPr="00146910" w:rsidRDefault="00146910" w:rsidP="00146910">
      <w:pPr>
        <w:rPr>
          <w:b/>
          <w:i/>
          <w:iCs/>
        </w:rPr>
      </w:pPr>
      <w:r w:rsidRPr="00146910">
        <w:rPr>
          <w:b/>
          <w:i/>
          <w:iCs/>
        </w:rPr>
        <w:t>Penalties for Academic Dishonesty</w:t>
      </w:r>
    </w:p>
    <w:p w14:paraId="68661E26" w14:textId="77777777" w:rsidR="00146910" w:rsidRPr="00146910" w:rsidRDefault="00146910" w:rsidP="00146910">
      <w:pPr>
        <w:numPr>
          <w:ilvl w:val="0"/>
          <w:numId w:val="6"/>
        </w:numPr>
        <w:rPr>
          <w:i/>
          <w:iCs/>
        </w:rPr>
      </w:pPr>
      <w:r w:rsidRPr="00146910">
        <w:rPr>
          <w:i/>
          <w:iCs/>
        </w:rPr>
        <w:t>On the first offense, the student will receive zero (0) credit for the examination or assignment. For forms of cheating or dishonesty other than on examinations or assignments, the Professor shall have the discretion to impose an appropriate penalty. Professors must send documentation of the first offense to the appropriate chair, the dean of the appropriate college, the Chief Academic Officer, and the Dean of Students.</w:t>
      </w:r>
    </w:p>
    <w:p w14:paraId="309F7910" w14:textId="77777777" w:rsidR="00146910" w:rsidRPr="00146910" w:rsidRDefault="00146910" w:rsidP="00146910">
      <w:pPr>
        <w:numPr>
          <w:ilvl w:val="0"/>
          <w:numId w:val="6"/>
        </w:numPr>
        <w:rPr>
          <w:i/>
          <w:iCs/>
        </w:rPr>
      </w:pPr>
      <w:r w:rsidRPr="00146910">
        <w:rPr>
          <w:i/>
          <w:iCs/>
        </w:rPr>
        <w:t>On the second offense in the same course, the student will receive an F in the course. Professors must send documentation of the second offense to the appropriate chair, the dean of the appropriate college, the Chief Academic Officer, and the Dean of Students.</w:t>
      </w:r>
    </w:p>
    <w:p w14:paraId="70F42BCF" w14:textId="77777777" w:rsidR="00146910" w:rsidRPr="00146910" w:rsidRDefault="00146910" w:rsidP="00146910">
      <w:pPr>
        <w:numPr>
          <w:ilvl w:val="0"/>
          <w:numId w:val="6"/>
        </w:numPr>
        <w:rPr>
          <w:i/>
          <w:iCs/>
        </w:rPr>
      </w:pPr>
      <w:r w:rsidRPr="00146910">
        <w:rPr>
          <w:i/>
          <w:iCs/>
        </w:rPr>
        <w:t>At either the first offense or second offense, the student may appeal using the process described in both the OC Student Handbook and the OC Academic Policy Manual covering Grade Appeals.</w:t>
      </w:r>
    </w:p>
    <w:p w14:paraId="62418B99" w14:textId="77777777" w:rsidR="00146910" w:rsidRPr="00146910" w:rsidRDefault="00146910" w:rsidP="00146910">
      <w:pPr>
        <w:numPr>
          <w:ilvl w:val="0"/>
          <w:numId w:val="6"/>
        </w:numPr>
        <w:rPr>
          <w:i/>
          <w:iCs/>
        </w:rPr>
      </w:pPr>
      <w:r w:rsidRPr="00146910">
        <w:rPr>
          <w:i/>
          <w:iCs/>
        </w:rPr>
        <w:t xml:space="preserve">If the student commits offenses in two or more courses, the Academic Appeals Committee, described in the OC Student Handbook and in the OC Academic Policy Manual, may assign penalties for academic dishonesty in addition to the penalties assigned by the professors in the courses. The Academic Appeals Committee may impose penalties up to and including suspension from the University in instances where a student has engaged in cheating or plagiarism in two or more courses. The Academic Appeals Committee will inform the Chief Academic Officer and the </w:t>
      </w:r>
      <w:r w:rsidRPr="00146910">
        <w:rPr>
          <w:i/>
          <w:iCs/>
        </w:rPr>
        <w:lastRenderedPageBreak/>
        <w:t>Dean of Students in writing of any penalties imposed by it and will report annually on its activities to the University’s Academic Affairs Committee.</w:t>
      </w:r>
    </w:p>
    <w:p w14:paraId="07955FE7" w14:textId="77777777" w:rsidR="00146910" w:rsidRPr="00146910" w:rsidRDefault="00146910" w:rsidP="00146910">
      <w:pPr>
        <w:numPr>
          <w:ilvl w:val="0"/>
          <w:numId w:val="6"/>
        </w:numPr>
        <w:rPr>
          <w:i/>
          <w:iCs/>
        </w:rPr>
      </w:pPr>
      <w:r w:rsidRPr="00146910">
        <w:rPr>
          <w:i/>
          <w:iCs/>
        </w:rPr>
        <w:t>Professors should maintain the highest standards of academic honesty both in and out of the classroom. Professors must report and apply the rules regarding cheating/plagiarism to the appropriate channels. The student should be referred to the Oklahoma Christian University Covenant for principles which should guide conduct in these matters.</w:t>
      </w:r>
    </w:p>
    <w:p w14:paraId="75ED905A" w14:textId="2C949BD7" w:rsidR="00146910" w:rsidRPr="009C7555" w:rsidRDefault="00146910" w:rsidP="00146910">
      <w:pPr>
        <w:rPr>
          <w:i/>
          <w:iCs/>
        </w:rPr>
      </w:pPr>
    </w:p>
    <w:p w14:paraId="271E1D2B" w14:textId="77777777" w:rsidR="000730BF" w:rsidRPr="009C7555" w:rsidRDefault="000730BF" w:rsidP="000730BF">
      <w:pPr>
        <w:spacing w:after="0"/>
        <w:jc w:val="center"/>
        <w:textAlignment w:val="baseline"/>
        <w:rPr>
          <w:rFonts w:eastAsia="Times New Roman" w:cs="Arial"/>
          <w:b/>
          <w:i/>
          <w:iCs/>
        </w:rPr>
      </w:pPr>
      <w:r w:rsidRPr="009C7555">
        <w:rPr>
          <w:rFonts w:eastAsia="Times New Roman" w:cs="Arial"/>
          <w:b/>
          <w:i/>
          <w:iCs/>
        </w:rPr>
        <w:t>Americans with Disabilities Act</w:t>
      </w:r>
    </w:p>
    <w:p w14:paraId="4951C660" w14:textId="77777777" w:rsidR="000730BF" w:rsidRPr="009C7555" w:rsidRDefault="000730BF" w:rsidP="000730BF">
      <w:pPr>
        <w:spacing w:before="240" w:after="0"/>
        <w:rPr>
          <w:rFonts w:eastAsia="Times New Roman" w:cs="Times New Roman"/>
          <w:i/>
          <w:iCs/>
        </w:rPr>
      </w:pPr>
      <w:r w:rsidRPr="009C7555">
        <w:rPr>
          <w:rFonts w:eastAsia="Times New Roman" w:cs="Arial"/>
          <w:i/>
          <w:iCs/>
        </w:rPr>
        <w:t xml:space="preserve">If you have a diagnosed disability and need special accommodations, please notify Ms. Katy </w:t>
      </w:r>
      <w:proofErr w:type="spellStart"/>
      <w:r w:rsidRPr="009C7555">
        <w:rPr>
          <w:rFonts w:eastAsia="Times New Roman" w:cs="Arial"/>
          <w:i/>
          <w:iCs/>
        </w:rPr>
        <w:t>Roybal</w:t>
      </w:r>
      <w:proofErr w:type="spellEnd"/>
      <w:r w:rsidRPr="009C7555">
        <w:rPr>
          <w:rFonts w:eastAsia="Times New Roman" w:cs="Arial"/>
          <w:i/>
          <w:iCs/>
        </w:rPr>
        <w:t xml:space="preserve"> (425-1876) before or immediately after your first scheduled class meeting. After your disability has been verified, your instructor will work with you, with Ms. </w:t>
      </w:r>
      <w:proofErr w:type="spellStart"/>
      <w:r w:rsidRPr="009C7555">
        <w:rPr>
          <w:rFonts w:eastAsia="Times New Roman" w:cs="Arial"/>
          <w:i/>
          <w:iCs/>
        </w:rPr>
        <w:t>Roybal</w:t>
      </w:r>
      <w:proofErr w:type="spellEnd"/>
      <w:r w:rsidRPr="009C7555">
        <w:rPr>
          <w:rFonts w:eastAsia="Times New Roman" w:cs="Arial"/>
          <w:i/>
          <w:iCs/>
        </w:rPr>
        <w:t>, and with the Office of the Vice President of Academic Affairs to provide reasonable accommodations to ensure that you have a fair opportunity to perform in this course.</w:t>
      </w:r>
    </w:p>
    <w:p w14:paraId="613433DB" w14:textId="77777777" w:rsidR="000730BF" w:rsidRPr="009C7555" w:rsidRDefault="000730BF" w:rsidP="000730BF">
      <w:pPr>
        <w:spacing w:after="0"/>
        <w:rPr>
          <w:rFonts w:eastAsia="Times New Roman" w:cs="Times New Roman"/>
          <w:i/>
          <w:iCs/>
        </w:rPr>
      </w:pPr>
    </w:p>
    <w:p w14:paraId="2AB63060" w14:textId="77777777" w:rsidR="000730BF" w:rsidRPr="009C7555" w:rsidRDefault="000730BF" w:rsidP="000730BF">
      <w:pPr>
        <w:spacing w:after="0"/>
        <w:jc w:val="center"/>
        <w:textAlignment w:val="baseline"/>
        <w:rPr>
          <w:rFonts w:eastAsia="Times New Roman" w:cs="Arial"/>
          <w:b/>
          <w:i/>
          <w:iCs/>
        </w:rPr>
      </w:pPr>
      <w:r w:rsidRPr="009C7555">
        <w:rPr>
          <w:rFonts w:eastAsia="Times New Roman" w:cs="Arial"/>
          <w:b/>
          <w:i/>
          <w:iCs/>
        </w:rPr>
        <w:t>Sexual Misconduct Policy (Title IX)</w:t>
      </w:r>
    </w:p>
    <w:p w14:paraId="2A6AA838" w14:textId="77777777" w:rsidR="000730BF" w:rsidRPr="009C7555" w:rsidRDefault="000730BF" w:rsidP="000730BF">
      <w:pPr>
        <w:spacing w:after="0"/>
        <w:rPr>
          <w:rFonts w:eastAsia="Times New Roman" w:cs="Times New Roman"/>
          <w:i/>
          <w:iCs/>
        </w:rPr>
      </w:pPr>
    </w:p>
    <w:p w14:paraId="58C441E9" w14:textId="77777777" w:rsidR="000730BF" w:rsidRPr="009C7555" w:rsidRDefault="000730BF" w:rsidP="000730BF">
      <w:pPr>
        <w:spacing w:after="0"/>
        <w:rPr>
          <w:rFonts w:eastAsia="Times New Roman" w:cs="Arial"/>
          <w:i/>
          <w:iCs/>
        </w:rPr>
      </w:pPr>
      <w:r w:rsidRPr="009C7555">
        <w:rPr>
          <w:rFonts w:eastAsia="Times New Roman" w:cs="Arial"/>
          <w:i/>
          <w:iCs/>
        </w:rPr>
        <w:t>Oklahoma Christian University is a Christian community unequivocally committed to ensuring a working and learning environment in which the dignity of every individual is respected and providing a campus environment that is free of unlawful discrimination, which includes sexual harassment, sexual assault, or sexual misconduct. OC’s Sexual Misconduct Policy (see the OC Student Handbook) is compliant with Title IX, which states, “No person in the United States shall, on the basis of sex, be excluded from participation in, be denied the benefits of, or be subjected to discrimination under any education program or activity receiving Federal financial assistance.” Sexual harassment is a breach of community, which expresses disrespect, exploits and undermines relationships based on trusts, and interferes with learning and productive work.</w:t>
      </w:r>
    </w:p>
    <w:p w14:paraId="7C21721D" w14:textId="77777777" w:rsidR="000730BF" w:rsidRPr="009C7555" w:rsidRDefault="000730BF" w:rsidP="000730BF">
      <w:pPr>
        <w:spacing w:after="0"/>
        <w:rPr>
          <w:rFonts w:eastAsia="Times New Roman" w:cs="Arial"/>
          <w:i/>
          <w:iCs/>
        </w:rPr>
      </w:pPr>
    </w:p>
    <w:p w14:paraId="2A23C703" w14:textId="77777777" w:rsidR="000730BF" w:rsidRPr="009C7555" w:rsidRDefault="000730BF" w:rsidP="000730BF">
      <w:pPr>
        <w:spacing w:after="0"/>
        <w:rPr>
          <w:rFonts w:eastAsia="Times New Roman" w:cs="Arial"/>
          <w:i/>
          <w:iCs/>
        </w:rPr>
      </w:pPr>
      <w:r w:rsidRPr="009C7555">
        <w:rPr>
          <w:rFonts w:eastAsia="Times New Roman" w:cs="Arial"/>
          <w:i/>
          <w:iCs/>
        </w:rPr>
        <w:t>Students are encouraged to immediately seek available assistance and report incidents of sexual misconduct as defined by the Sexual Misconduct Policy to the Title IX Coordinator:</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175"/>
        <w:gridCol w:w="2250"/>
        <w:gridCol w:w="1530"/>
        <w:gridCol w:w="2610"/>
      </w:tblGrid>
      <w:tr w:rsidR="000730BF" w:rsidRPr="009C7555" w14:paraId="1BB4EFA6" w14:textId="77777777" w:rsidTr="005A5718">
        <w:trPr>
          <w:tblHeader/>
        </w:trPr>
        <w:tc>
          <w:tcPr>
            <w:tcW w:w="3175" w:type="dxa"/>
          </w:tcPr>
          <w:p w14:paraId="399676F6" w14:textId="77777777" w:rsidR="000730BF" w:rsidRPr="009C7555" w:rsidRDefault="000730BF" w:rsidP="005A5718">
            <w:pPr>
              <w:rPr>
                <w:rFonts w:eastAsia="Times New Roman" w:cs="Times New Roman"/>
                <w:b/>
                <w:i/>
                <w:iCs/>
              </w:rPr>
            </w:pPr>
            <w:r w:rsidRPr="009C7555">
              <w:rPr>
                <w:rFonts w:eastAsia="Times New Roman" w:cs="Times New Roman"/>
                <w:b/>
                <w:i/>
                <w:iCs/>
              </w:rPr>
              <w:t>Title IX Coordinator</w:t>
            </w:r>
          </w:p>
        </w:tc>
        <w:tc>
          <w:tcPr>
            <w:tcW w:w="2250" w:type="dxa"/>
          </w:tcPr>
          <w:p w14:paraId="5C5E9009" w14:textId="77777777" w:rsidR="000730BF" w:rsidRPr="009C7555" w:rsidRDefault="000730BF" w:rsidP="005A5718">
            <w:pPr>
              <w:rPr>
                <w:rFonts w:eastAsia="Times New Roman" w:cs="Times New Roman"/>
                <w:i/>
                <w:iCs/>
              </w:rPr>
            </w:pPr>
            <w:r w:rsidRPr="009C7555">
              <w:rPr>
                <w:rFonts w:eastAsia="Times New Roman" w:cs="Times New Roman"/>
                <w:i/>
                <w:iCs/>
              </w:rPr>
              <w:t>Mrs. Lisa Herndon</w:t>
            </w:r>
          </w:p>
        </w:tc>
        <w:tc>
          <w:tcPr>
            <w:tcW w:w="1530" w:type="dxa"/>
          </w:tcPr>
          <w:p w14:paraId="32C88CDA" w14:textId="77777777" w:rsidR="000730BF" w:rsidRPr="009C7555" w:rsidRDefault="000730BF" w:rsidP="005A5718">
            <w:pPr>
              <w:rPr>
                <w:rFonts w:eastAsia="Times New Roman" w:cs="Times New Roman"/>
                <w:i/>
                <w:iCs/>
              </w:rPr>
            </w:pPr>
            <w:r w:rsidRPr="009C7555">
              <w:rPr>
                <w:rFonts w:eastAsia="Times New Roman" w:cs="Times New Roman"/>
                <w:i/>
                <w:iCs/>
              </w:rPr>
              <w:t>405.425.1820</w:t>
            </w:r>
          </w:p>
        </w:tc>
        <w:tc>
          <w:tcPr>
            <w:tcW w:w="2610" w:type="dxa"/>
          </w:tcPr>
          <w:p w14:paraId="52D04A08" w14:textId="77777777" w:rsidR="000730BF" w:rsidRPr="009C7555" w:rsidRDefault="000730BF" w:rsidP="005A5718">
            <w:pPr>
              <w:rPr>
                <w:rFonts w:eastAsia="Times New Roman" w:cs="Times New Roman"/>
                <w:i/>
                <w:iCs/>
              </w:rPr>
            </w:pPr>
            <w:r w:rsidRPr="009C7555">
              <w:rPr>
                <w:rFonts w:eastAsia="Times New Roman" w:cs="Times New Roman"/>
                <w:i/>
                <w:iCs/>
              </w:rPr>
              <w:t>lisa.herndon@oc.edu</w:t>
            </w:r>
          </w:p>
        </w:tc>
      </w:tr>
    </w:tbl>
    <w:p w14:paraId="460AD319" w14:textId="77777777" w:rsidR="000730BF" w:rsidRPr="00146910" w:rsidRDefault="000730BF" w:rsidP="00146910"/>
    <w:sectPr w:rsidR="000730BF" w:rsidRPr="00146910" w:rsidSect="00CF7BA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257C" w14:textId="77777777" w:rsidR="00DF10A5" w:rsidRDefault="00DF10A5" w:rsidP="00146910">
      <w:pPr>
        <w:spacing w:after="0" w:line="240" w:lineRule="auto"/>
      </w:pPr>
      <w:r>
        <w:separator/>
      </w:r>
    </w:p>
  </w:endnote>
  <w:endnote w:type="continuationSeparator" w:id="0">
    <w:p w14:paraId="21507DED" w14:textId="77777777" w:rsidR="00DF10A5" w:rsidRDefault="00DF10A5" w:rsidP="0014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AAF1" w14:textId="77777777" w:rsidR="00DF10A5" w:rsidRDefault="00DF10A5" w:rsidP="00146910">
      <w:pPr>
        <w:spacing w:after="0" w:line="240" w:lineRule="auto"/>
      </w:pPr>
      <w:r>
        <w:separator/>
      </w:r>
    </w:p>
  </w:footnote>
  <w:footnote w:type="continuationSeparator" w:id="0">
    <w:p w14:paraId="1D35263C" w14:textId="77777777" w:rsidR="00DF10A5" w:rsidRDefault="00DF10A5" w:rsidP="0014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8E0" w14:textId="643D63C0" w:rsidR="00C02D22" w:rsidRDefault="00C02D22" w:rsidP="00C02D22">
    <w:pPr>
      <w:pStyle w:val="Header"/>
    </w:pPr>
    <w:r>
      <w:rPr>
        <w:b/>
        <w:bCs/>
        <w:noProof/>
        <w:sz w:val="32"/>
        <w:szCs w:val="32"/>
      </w:rPr>
      <w:drawing>
        <wp:anchor distT="0" distB="0" distL="114300" distR="114300" simplePos="0" relativeHeight="251663360" behindDoc="1" locked="0" layoutInCell="1" allowOverlap="1" wp14:anchorId="34BBB102" wp14:editId="5ABFEB14">
          <wp:simplePos x="0" y="0"/>
          <wp:positionH relativeFrom="column">
            <wp:posOffset>0</wp:posOffset>
          </wp:positionH>
          <wp:positionV relativeFrom="paragraph">
            <wp:posOffset>-285750</wp:posOffset>
          </wp:positionV>
          <wp:extent cx="1198245" cy="685800"/>
          <wp:effectExtent l="0" t="0" r="1905" b="0"/>
          <wp:wrapTight wrapText="bothSides">
            <wp:wrapPolygon edited="0">
              <wp:start x="0" y="0"/>
              <wp:lineTo x="0" y="21000"/>
              <wp:lineTo x="21291" y="21000"/>
              <wp:lineTo x="21291"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 cstate="print">
                    <a:extLst>
                      <a:ext uri="{28A0092B-C50C-407E-A947-70E740481C1C}">
                        <a14:useLocalDpi xmlns:a14="http://schemas.microsoft.com/office/drawing/2010/main" val="0"/>
                      </a:ext>
                    </a:extLst>
                  </a:blip>
                  <a:srcRect l="14285" t="29762" r="14732" b="29613"/>
                  <a:stretch/>
                </pic:blipFill>
                <pic:spPr bwMode="auto">
                  <a:xfrm>
                    <a:off x="0" y="0"/>
                    <a:ext cx="119824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E9F2E16" wp14:editId="2228B935">
          <wp:simplePos x="0" y="0"/>
          <wp:positionH relativeFrom="column">
            <wp:posOffset>3362325</wp:posOffset>
          </wp:positionH>
          <wp:positionV relativeFrom="paragraph">
            <wp:posOffset>-419100</wp:posOffset>
          </wp:positionV>
          <wp:extent cx="3057525" cy="914400"/>
          <wp:effectExtent l="0" t="0" r="0" b="0"/>
          <wp:wrapTight wrapText="bothSides">
            <wp:wrapPolygon edited="0">
              <wp:start x="17226" y="4950"/>
              <wp:lineTo x="404" y="8550"/>
              <wp:lineTo x="404" y="12600"/>
              <wp:lineTo x="16015" y="13050"/>
              <wp:lineTo x="16957" y="15300"/>
              <wp:lineTo x="17226" y="16200"/>
              <wp:lineTo x="20994" y="16200"/>
              <wp:lineTo x="20994" y="4950"/>
              <wp:lineTo x="17226" y="49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2" cstate="print">
                    <a:extLst>
                      <a:ext uri="{28A0092B-C50C-407E-A947-70E740481C1C}">
                        <a14:useLocalDpi xmlns:a14="http://schemas.microsoft.com/office/drawing/2010/main" val="0"/>
                      </a:ext>
                    </a:extLst>
                  </a:blip>
                  <a:srcRect l="41905" r="7143"/>
                  <a:stretch/>
                </pic:blipFill>
                <pic:spPr bwMode="auto">
                  <a:xfrm>
                    <a:off x="0" y="0"/>
                    <a:ext cx="30575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67A"/>
    <w:multiLevelType w:val="hybridMultilevel"/>
    <w:tmpl w:val="477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44DE5"/>
    <w:multiLevelType w:val="hybridMultilevel"/>
    <w:tmpl w:val="3680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0DC2"/>
    <w:multiLevelType w:val="hybridMultilevel"/>
    <w:tmpl w:val="21007FB4"/>
    <w:lvl w:ilvl="0" w:tplc="554259F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33451DE7"/>
    <w:multiLevelType w:val="hybridMultilevel"/>
    <w:tmpl w:val="7DE6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15FB9"/>
    <w:multiLevelType w:val="hybridMultilevel"/>
    <w:tmpl w:val="631A5978"/>
    <w:lvl w:ilvl="0" w:tplc="7E1A3F80">
      <w:start w:val="1"/>
      <w:numFmt w:val="lowerLetter"/>
      <w:lvlText w:val="%1."/>
      <w:lvlJc w:val="left"/>
      <w:pPr>
        <w:ind w:left="756" w:hanging="360"/>
      </w:pPr>
      <w:rPr>
        <w:rFonts w:hint="default"/>
        <w:u w:val="non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78522A96"/>
    <w:multiLevelType w:val="hybridMultilevel"/>
    <w:tmpl w:val="B41C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33"/>
    <w:rsid w:val="00000493"/>
    <w:rsid w:val="00002000"/>
    <w:rsid w:val="000161CE"/>
    <w:rsid w:val="0005285D"/>
    <w:rsid w:val="00053A88"/>
    <w:rsid w:val="00062623"/>
    <w:rsid w:val="000730BF"/>
    <w:rsid w:val="0007622A"/>
    <w:rsid w:val="00076618"/>
    <w:rsid w:val="00077F84"/>
    <w:rsid w:val="00085D4C"/>
    <w:rsid w:val="00092B5B"/>
    <w:rsid w:val="000A265E"/>
    <w:rsid w:val="000D32DE"/>
    <w:rsid w:val="00100657"/>
    <w:rsid w:val="00146910"/>
    <w:rsid w:val="00160A4B"/>
    <w:rsid w:val="00167545"/>
    <w:rsid w:val="00182063"/>
    <w:rsid w:val="00191783"/>
    <w:rsid w:val="001B7B7F"/>
    <w:rsid w:val="001D0859"/>
    <w:rsid w:val="001F4518"/>
    <w:rsid w:val="00235C1D"/>
    <w:rsid w:val="00243082"/>
    <w:rsid w:val="00257D2D"/>
    <w:rsid w:val="00275C9B"/>
    <w:rsid w:val="002D2C62"/>
    <w:rsid w:val="002F46D3"/>
    <w:rsid w:val="003143D3"/>
    <w:rsid w:val="0034008F"/>
    <w:rsid w:val="00351510"/>
    <w:rsid w:val="00372FD2"/>
    <w:rsid w:val="00383020"/>
    <w:rsid w:val="003A23C5"/>
    <w:rsid w:val="003A3ABE"/>
    <w:rsid w:val="003A46A6"/>
    <w:rsid w:val="003B5CB7"/>
    <w:rsid w:val="003C24AC"/>
    <w:rsid w:val="003D4152"/>
    <w:rsid w:val="003D6F4D"/>
    <w:rsid w:val="003D7449"/>
    <w:rsid w:val="003F0B22"/>
    <w:rsid w:val="00403EB9"/>
    <w:rsid w:val="00415C2B"/>
    <w:rsid w:val="004222D8"/>
    <w:rsid w:val="00432719"/>
    <w:rsid w:val="00464179"/>
    <w:rsid w:val="00464DDA"/>
    <w:rsid w:val="00494DDE"/>
    <w:rsid w:val="004C3A68"/>
    <w:rsid w:val="004C49BB"/>
    <w:rsid w:val="004D3CD2"/>
    <w:rsid w:val="004D3F16"/>
    <w:rsid w:val="004E68B3"/>
    <w:rsid w:val="00504B17"/>
    <w:rsid w:val="00507A3C"/>
    <w:rsid w:val="00541127"/>
    <w:rsid w:val="00583587"/>
    <w:rsid w:val="005B5E5D"/>
    <w:rsid w:val="005C2603"/>
    <w:rsid w:val="005E0CF2"/>
    <w:rsid w:val="005E64E4"/>
    <w:rsid w:val="00602370"/>
    <w:rsid w:val="0060254E"/>
    <w:rsid w:val="00621DC1"/>
    <w:rsid w:val="00626EAF"/>
    <w:rsid w:val="00647233"/>
    <w:rsid w:val="006520F0"/>
    <w:rsid w:val="0065386F"/>
    <w:rsid w:val="00661291"/>
    <w:rsid w:val="0067563D"/>
    <w:rsid w:val="00683BAD"/>
    <w:rsid w:val="00695E5A"/>
    <w:rsid w:val="006B152F"/>
    <w:rsid w:val="006C7A58"/>
    <w:rsid w:val="006D27A8"/>
    <w:rsid w:val="006D7A32"/>
    <w:rsid w:val="006F1D8B"/>
    <w:rsid w:val="00726C52"/>
    <w:rsid w:val="007527BA"/>
    <w:rsid w:val="00764538"/>
    <w:rsid w:val="007708FA"/>
    <w:rsid w:val="00776387"/>
    <w:rsid w:val="00783B29"/>
    <w:rsid w:val="00784ED9"/>
    <w:rsid w:val="00787CFA"/>
    <w:rsid w:val="00791D19"/>
    <w:rsid w:val="00794B17"/>
    <w:rsid w:val="007B0828"/>
    <w:rsid w:val="007C50DB"/>
    <w:rsid w:val="007E5311"/>
    <w:rsid w:val="00817684"/>
    <w:rsid w:val="0082307A"/>
    <w:rsid w:val="00824E37"/>
    <w:rsid w:val="00833479"/>
    <w:rsid w:val="008747B6"/>
    <w:rsid w:val="008769DC"/>
    <w:rsid w:val="00881E9C"/>
    <w:rsid w:val="00891AFE"/>
    <w:rsid w:val="008922FC"/>
    <w:rsid w:val="00894F71"/>
    <w:rsid w:val="0089568D"/>
    <w:rsid w:val="008A2A6B"/>
    <w:rsid w:val="008C2E95"/>
    <w:rsid w:val="008D2E8B"/>
    <w:rsid w:val="008E1421"/>
    <w:rsid w:val="008F1D91"/>
    <w:rsid w:val="00900EC4"/>
    <w:rsid w:val="0091289C"/>
    <w:rsid w:val="00931EFF"/>
    <w:rsid w:val="00943CCC"/>
    <w:rsid w:val="0095103C"/>
    <w:rsid w:val="0097555E"/>
    <w:rsid w:val="00982CF6"/>
    <w:rsid w:val="009B1F25"/>
    <w:rsid w:val="009B78C5"/>
    <w:rsid w:val="009C7555"/>
    <w:rsid w:val="009D6671"/>
    <w:rsid w:val="009D737F"/>
    <w:rsid w:val="009E0F3C"/>
    <w:rsid w:val="009F1EF8"/>
    <w:rsid w:val="009F1FC0"/>
    <w:rsid w:val="00A04D54"/>
    <w:rsid w:val="00A21D40"/>
    <w:rsid w:val="00A4318D"/>
    <w:rsid w:val="00A44BC3"/>
    <w:rsid w:val="00A47E6C"/>
    <w:rsid w:val="00A61734"/>
    <w:rsid w:val="00A639C9"/>
    <w:rsid w:val="00A65FD4"/>
    <w:rsid w:val="00A67975"/>
    <w:rsid w:val="00A703E2"/>
    <w:rsid w:val="00A8232B"/>
    <w:rsid w:val="00AA60C0"/>
    <w:rsid w:val="00AC02F3"/>
    <w:rsid w:val="00AD2483"/>
    <w:rsid w:val="00AE3493"/>
    <w:rsid w:val="00AE3D20"/>
    <w:rsid w:val="00B05793"/>
    <w:rsid w:val="00B07A19"/>
    <w:rsid w:val="00B12BC2"/>
    <w:rsid w:val="00B47886"/>
    <w:rsid w:val="00B50A04"/>
    <w:rsid w:val="00B51280"/>
    <w:rsid w:val="00B53E21"/>
    <w:rsid w:val="00B57A98"/>
    <w:rsid w:val="00B85731"/>
    <w:rsid w:val="00B87962"/>
    <w:rsid w:val="00B908EB"/>
    <w:rsid w:val="00B91FA7"/>
    <w:rsid w:val="00BA0D75"/>
    <w:rsid w:val="00BB4B0D"/>
    <w:rsid w:val="00BC517C"/>
    <w:rsid w:val="00BC77AF"/>
    <w:rsid w:val="00BD5A95"/>
    <w:rsid w:val="00BF5C17"/>
    <w:rsid w:val="00C00C70"/>
    <w:rsid w:val="00C02D22"/>
    <w:rsid w:val="00C32F34"/>
    <w:rsid w:val="00C351F2"/>
    <w:rsid w:val="00C36BFB"/>
    <w:rsid w:val="00C617EB"/>
    <w:rsid w:val="00C8127F"/>
    <w:rsid w:val="00C84794"/>
    <w:rsid w:val="00CB45A6"/>
    <w:rsid w:val="00CC2DD2"/>
    <w:rsid w:val="00CD0CA1"/>
    <w:rsid w:val="00CE1900"/>
    <w:rsid w:val="00CF55EC"/>
    <w:rsid w:val="00CF7BA8"/>
    <w:rsid w:val="00D021E7"/>
    <w:rsid w:val="00D0244B"/>
    <w:rsid w:val="00D03976"/>
    <w:rsid w:val="00D04DE2"/>
    <w:rsid w:val="00D168AA"/>
    <w:rsid w:val="00D34496"/>
    <w:rsid w:val="00D401A1"/>
    <w:rsid w:val="00D50FD1"/>
    <w:rsid w:val="00D545B4"/>
    <w:rsid w:val="00D55CBB"/>
    <w:rsid w:val="00D70EC2"/>
    <w:rsid w:val="00D83EBD"/>
    <w:rsid w:val="00DA02EA"/>
    <w:rsid w:val="00DA090D"/>
    <w:rsid w:val="00DB7670"/>
    <w:rsid w:val="00DE60CE"/>
    <w:rsid w:val="00DF10A5"/>
    <w:rsid w:val="00DF1520"/>
    <w:rsid w:val="00E01625"/>
    <w:rsid w:val="00E37938"/>
    <w:rsid w:val="00E46659"/>
    <w:rsid w:val="00E65E1C"/>
    <w:rsid w:val="00E7784A"/>
    <w:rsid w:val="00E86443"/>
    <w:rsid w:val="00E924F8"/>
    <w:rsid w:val="00EA60A9"/>
    <w:rsid w:val="00EA737A"/>
    <w:rsid w:val="00EB1DEA"/>
    <w:rsid w:val="00EB4ED3"/>
    <w:rsid w:val="00EC0AEE"/>
    <w:rsid w:val="00EE015E"/>
    <w:rsid w:val="00EF2204"/>
    <w:rsid w:val="00EF299A"/>
    <w:rsid w:val="00EF52F9"/>
    <w:rsid w:val="00F00D84"/>
    <w:rsid w:val="00F14A14"/>
    <w:rsid w:val="00F45241"/>
    <w:rsid w:val="00F57151"/>
    <w:rsid w:val="00F710C0"/>
    <w:rsid w:val="00F8042C"/>
    <w:rsid w:val="00F829DC"/>
    <w:rsid w:val="00FA1BF8"/>
    <w:rsid w:val="00FC039B"/>
    <w:rsid w:val="00FC7C3B"/>
    <w:rsid w:val="00FD4E3C"/>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2EFE"/>
  <w15:chartTrackingRefBased/>
  <w15:docId w15:val="{80C5DF29-96FB-4665-8204-6E744F26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233"/>
    <w:pPr>
      <w:spacing w:after="0" w:line="240" w:lineRule="auto"/>
    </w:pPr>
  </w:style>
  <w:style w:type="character" w:styleId="Hyperlink">
    <w:name w:val="Hyperlink"/>
    <w:basedOn w:val="DefaultParagraphFont"/>
    <w:uiPriority w:val="99"/>
    <w:unhideWhenUsed/>
    <w:rsid w:val="00787CFA"/>
    <w:rPr>
      <w:color w:val="0563C1" w:themeColor="hyperlink"/>
      <w:u w:val="single"/>
    </w:rPr>
  </w:style>
  <w:style w:type="character" w:styleId="UnresolvedMention">
    <w:name w:val="Unresolved Mention"/>
    <w:basedOn w:val="DefaultParagraphFont"/>
    <w:uiPriority w:val="99"/>
    <w:semiHidden/>
    <w:unhideWhenUsed/>
    <w:rsid w:val="00787CFA"/>
    <w:rPr>
      <w:color w:val="605E5C"/>
      <w:shd w:val="clear" w:color="auto" w:fill="E1DFDD"/>
    </w:rPr>
  </w:style>
  <w:style w:type="paragraph" w:styleId="ListParagraph">
    <w:name w:val="List Paragraph"/>
    <w:basedOn w:val="Normal"/>
    <w:uiPriority w:val="34"/>
    <w:qFormat/>
    <w:rsid w:val="003B5CB7"/>
    <w:pPr>
      <w:ind w:left="720"/>
      <w:contextualSpacing/>
    </w:pPr>
  </w:style>
  <w:style w:type="paragraph" w:styleId="Header">
    <w:name w:val="header"/>
    <w:basedOn w:val="Normal"/>
    <w:link w:val="HeaderChar"/>
    <w:uiPriority w:val="99"/>
    <w:unhideWhenUsed/>
    <w:rsid w:val="0014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10"/>
  </w:style>
  <w:style w:type="paragraph" w:styleId="Footer">
    <w:name w:val="footer"/>
    <w:basedOn w:val="Normal"/>
    <w:link w:val="FooterChar"/>
    <w:uiPriority w:val="99"/>
    <w:unhideWhenUsed/>
    <w:rsid w:val="0014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10"/>
  </w:style>
  <w:style w:type="table" w:styleId="TableGrid">
    <w:name w:val="Table Grid"/>
    <w:basedOn w:val="TableNormal"/>
    <w:uiPriority w:val="59"/>
    <w:rsid w:val="000730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iana.edu/~wts/pamphlets/p;agiaris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mclean</dc:creator>
  <cp:keywords/>
  <dc:description/>
  <cp:lastModifiedBy>Darren Williamson</cp:lastModifiedBy>
  <cp:revision>3</cp:revision>
  <dcterms:created xsi:type="dcterms:W3CDTF">2021-06-24T16:57:00Z</dcterms:created>
  <dcterms:modified xsi:type="dcterms:W3CDTF">2021-07-05T17:49:00Z</dcterms:modified>
</cp:coreProperties>
</file>