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75BF" w14:textId="77777777" w:rsidR="008C3DA0" w:rsidRDefault="008C3DA0" w:rsidP="008C3DA0">
      <w:pPr>
        <w:tabs>
          <w:tab w:val="left" w:pos="2805"/>
          <w:tab w:val="center" w:pos="4320"/>
        </w:tabs>
        <w:jc w:val="center"/>
        <w:rPr>
          <w:b/>
          <w:bCs/>
          <w:sz w:val="32"/>
          <w:szCs w:val="32"/>
        </w:rPr>
      </w:pPr>
      <w:r>
        <w:rPr>
          <w:noProof/>
        </w:rPr>
        <w:drawing>
          <wp:anchor distT="0" distB="0" distL="114300" distR="114300" simplePos="0" relativeHeight="251660288" behindDoc="1" locked="0" layoutInCell="1" allowOverlap="1" wp14:anchorId="6151BA37" wp14:editId="1761CC84">
            <wp:simplePos x="0" y="0"/>
            <wp:positionH relativeFrom="margin">
              <wp:align>right</wp:align>
            </wp:positionH>
            <wp:positionV relativeFrom="paragraph">
              <wp:posOffset>6985</wp:posOffset>
            </wp:positionV>
            <wp:extent cx="2941955" cy="604520"/>
            <wp:effectExtent l="0" t="0" r="0" b="0"/>
            <wp:wrapTight wrapText="bothSides">
              <wp:wrapPolygon edited="0">
                <wp:start x="17204" y="2723"/>
                <wp:lineTo x="280" y="7487"/>
                <wp:lineTo x="280" y="12933"/>
                <wp:lineTo x="16644" y="17017"/>
                <wp:lineTo x="20840" y="17017"/>
                <wp:lineTo x="20840" y="2723"/>
                <wp:lineTo x="17204" y="2723"/>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7" cstate="print">
                      <a:extLst>
                        <a:ext uri="{28A0092B-C50C-407E-A947-70E740481C1C}">
                          <a14:useLocalDpi xmlns:a14="http://schemas.microsoft.com/office/drawing/2010/main" val="0"/>
                        </a:ext>
                      </a:extLst>
                    </a:blip>
                    <a:srcRect l="41905" t="11651" r="7143" b="8679"/>
                    <a:stretch/>
                  </pic:blipFill>
                  <pic:spPr bwMode="auto">
                    <a:xfrm>
                      <a:off x="0" y="0"/>
                      <a:ext cx="2941955" cy="604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9264" behindDoc="1" locked="0" layoutInCell="1" allowOverlap="1" wp14:anchorId="1DEF9316" wp14:editId="0AEA7023">
            <wp:simplePos x="0" y="0"/>
            <wp:positionH relativeFrom="column">
              <wp:posOffset>-339725</wp:posOffset>
            </wp:positionH>
            <wp:positionV relativeFrom="paragraph">
              <wp:posOffset>0</wp:posOffset>
            </wp:positionV>
            <wp:extent cx="1334135" cy="763905"/>
            <wp:effectExtent l="0" t="0" r="0" b="0"/>
            <wp:wrapTight wrapText="bothSides">
              <wp:wrapPolygon edited="0">
                <wp:start x="0" y="0"/>
                <wp:lineTo x="0" y="21007"/>
                <wp:lineTo x="21281" y="21007"/>
                <wp:lineTo x="21281"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8" cstate="print">
                      <a:extLst>
                        <a:ext uri="{28A0092B-C50C-407E-A947-70E740481C1C}">
                          <a14:useLocalDpi xmlns:a14="http://schemas.microsoft.com/office/drawing/2010/main" val="0"/>
                        </a:ext>
                      </a:extLst>
                    </a:blip>
                    <a:srcRect l="14285" t="29762" r="14732" b="29613"/>
                    <a:stretch/>
                  </pic:blipFill>
                  <pic:spPr bwMode="auto">
                    <a:xfrm>
                      <a:off x="0" y="0"/>
                      <a:ext cx="1334135" cy="763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C5DC2F" w14:textId="77777777" w:rsidR="008C3DA0" w:rsidRDefault="008C3DA0" w:rsidP="008C3DA0">
      <w:pPr>
        <w:tabs>
          <w:tab w:val="left" w:pos="2805"/>
          <w:tab w:val="center" w:pos="4320"/>
        </w:tabs>
        <w:jc w:val="center"/>
        <w:rPr>
          <w:b/>
          <w:bCs/>
          <w:sz w:val="32"/>
          <w:szCs w:val="32"/>
        </w:rPr>
      </w:pPr>
    </w:p>
    <w:p w14:paraId="7A9CA899" w14:textId="38C93346" w:rsidR="008C3DA0" w:rsidRPr="00387336" w:rsidRDefault="008C3DA0" w:rsidP="008C3DA0">
      <w:pPr>
        <w:tabs>
          <w:tab w:val="left" w:pos="2805"/>
          <w:tab w:val="center" w:pos="4320"/>
        </w:tabs>
        <w:jc w:val="center"/>
        <w:rPr>
          <w:b/>
          <w:bCs/>
          <w:sz w:val="24"/>
          <w:szCs w:val="24"/>
        </w:rPr>
      </w:pPr>
      <w:r>
        <w:rPr>
          <w:b/>
          <w:bCs/>
          <w:sz w:val="32"/>
          <w:szCs w:val="32"/>
        </w:rPr>
        <w:t>Life of the Early Church: Acts</w:t>
      </w:r>
      <w:r>
        <w:rPr>
          <w:b/>
          <w:bCs/>
          <w:sz w:val="32"/>
          <w:szCs w:val="32"/>
        </w:rPr>
        <w:t xml:space="preserve"> </w:t>
      </w:r>
      <w:r w:rsidRPr="00A15B4B">
        <w:rPr>
          <w:sz w:val="24"/>
          <w:szCs w:val="24"/>
        </w:rPr>
        <w:t>(</w:t>
      </w:r>
      <w:r w:rsidRPr="00A15B4B">
        <w:rPr>
          <w:b/>
          <w:bCs/>
          <w:sz w:val="24"/>
          <w:szCs w:val="24"/>
        </w:rPr>
        <w:t xml:space="preserve">BIBL </w:t>
      </w:r>
      <w:r>
        <w:rPr>
          <w:b/>
          <w:bCs/>
          <w:sz w:val="24"/>
          <w:szCs w:val="24"/>
        </w:rPr>
        <w:t>1312</w:t>
      </w:r>
      <w:r w:rsidRPr="00A15B4B">
        <w:rPr>
          <w:b/>
          <w:bCs/>
          <w:sz w:val="24"/>
          <w:szCs w:val="24"/>
        </w:rPr>
        <w:t>)</w:t>
      </w:r>
    </w:p>
    <w:p w14:paraId="66FCF841" w14:textId="73C8C809" w:rsidR="008C3DA0" w:rsidRDefault="008C3DA0" w:rsidP="008C3DA0">
      <w:pPr>
        <w:spacing w:after="0" w:line="240" w:lineRule="auto"/>
        <w:contextualSpacing/>
        <w:jc w:val="center"/>
        <w:rPr>
          <w:bCs/>
        </w:rPr>
      </w:pPr>
      <w:r>
        <w:rPr>
          <w:bCs/>
        </w:rPr>
        <w:t>Spring 2022</w:t>
      </w:r>
      <w:r w:rsidRPr="00ED275C">
        <w:rPr>
          <w:bCs/>
        </w:rPr>
        <w:t xml:space="preserve"> (</w:t>
      </w:r>
      <w:r>
        <w:rPr>
          <w:bCs/>
        </w:rPr>
        <w:t>Jan 20 - Mar 17</w:t>
      </w:r>
      <w:r w:rsidRPr="00ED275C">
        <w:rPr>
          <w:bCs/>
        </w:rPr>
        <w:t>)</w:t>
      </w:r>
      <w:r>
        <w:rPr>
          <w:bCs/>
        </w:rPr>
        <w:t xml:space="preserve"> - TH 1:00-4:30pm</w:t>
      </w:r>
    </w:p>
    <w:p w14:paraId="11CCCD6D" w14:textId="77777777" w:rsidR="008C3DA0" w:rsidRDefault="008C3DA0" w:rsidP="008C3DA0">
      <w:pPr>
        <w:spacing w:line="240" w:lineRule="auto"/>
        <w:contextualSpacing/>
        <w:jc w:val="center"/>
        <w:rPr>
          <w:bCs/>
        </w:rPr>
      </w:pPr>
      <w:r>
        <w:rPr>
          <w:bCs/>
        </w:rPr>
        <w:t>Keizer Church of Christ, Fellowship Rooms</w:t>
      </w:r>
    </w:p>
    <w:p w14:paraId="78F19314" w14:textId="77777777" w:rsidR="008C3DA0" w:rsidRPr="00ED275C" w:rsidRDefault="008C3DA0" w:rsidP="008C3DA0">
      <w:pPr>
        <w:spacing w:line="240" w:lineRule="auto"/>
        <w:contextualSpacing/>
        <w:jc w:val="center"/>
      </w:pPr>
    </w:p>
    <w:p w14:paraId="66A46737" w14:textId="77777777" w:rsidR="008C3DA0" w:rsidRDefault="008C3DA0" w:rsidP="008C3DA0">
      <w:pPr>
        <w:spacing w:after="0"/>
      </w:pPr>
      <w:r w:rsidRPr="00ED275C">
        <w:rPr>
          <w:b/>
          <w:bCs/>
        </w:rPr>
        <w:t>Instructor:</w:t>
      </w:r>
      <w:r w:rsidRPr="00ED275C">
        <w:tab/>
      </w:r>
      <w:r>
        <w:t xml:space="preserve">Dr. Darren </w:t>
      </w:r>
      <w:proofErr w:type="gramStart"/>
      <w:r>
        <w:t xml:space="preserve">T.  </w:t>
      </w:r>
      <w:proofErr w:type="gramEnd"/>
      <w:r>
        <w:t>Williamson</w:t>
      </w:r>
      <w:r w:rsidRPr="00ED275C">
        <w:tab/>
      </w:r>
      <w:r w:rsidRPr="00ED275C">
        <w:tab/>
      </w:r>
      <w:r>
        <w:rPr>
          <w:szCs w:val="20"/>
        </w:rPr>
        <w:t>dwilliamson.or@gmail.com</w:t>
      </w:r>
      <w:r w:rsidRPr="00ED275C">
        <w:rPr>
          <w:b/>
          <w:bCs/>
        </w:rPr>
        <w:t xml:space="preserve"> </w:t>
      </w:r>
      <w:r w:rsidRPr="00A660D3">
        <w:t>&amp;</w:t>
      </w:r>
      <w:r>
        <w:rPr>
          <w:b/>
          <w:bCs/>
        </w:rPr>
        <w:t xml:space="preserve"> </w:t>
      </w:r>
      <w:r>
        <w:t>503-752-6032</w:t>
      </w:r>
    </w:p>
    <w:p w14:paraId="4C189A0C" w14:textId="77777777" w:rsidR="008C3DA0" w:rsidRPr="00EC4296" w:rsidRDefault="008C3DA0" w:rsidP="008C3DA0">
      <w:pPr>
        <w:spacing w:after="0"/>
        <w:ind w:left="4320" w:firstLine="720"/>
        <w:rPr>
          <w:sz w:val="10"/>
          <w:szCs w:val="10"/>
        </w:rPr>
      </w:pPr>
    </w:p>
    <w:p w14:paraId="66DA9BDE" w14:textId="77777777" w:rsidR="008C3DA0" w:rsidRPr="004F0B5F" w:rsidRDefault="008C3DA0" w:rsidP="008C3DA0">
      <w:pPr>
        <w:spacing w:after="0" w:line="240" w:lineRule="auto"/>
        <w:rPr>
          <w:rFonts w:eastAsia="Times New Roman" w:cs="Times New Roman"/>
        </w:rPr>
      </w:pPr>
    </w:p>
    <w:p w14:paraId="6B9A87DC" w14:textId="77777777" w:rsidR="008C3DA0" w:rsidRPr="00EC4296" w:rsidRDefault="008C3DA0" w:rsidP="008C3DA0">
      <w:pPr>
        <w:pStyle w:val="ListParagraph"/>
        <w:numPr>
          <w:ilvl w:val="0"/>
          <w:numId w:val="1"/>
        </w:numPr>
        <w:spacing w:after="0"/>
        <w:rPr>
          <w:rFonts w:eastAsia="Times New Roman" w:cs="Arial"/>
          <w:b/>
          <w:bCs/>
        </w:rPr>
      </w:pPr>
      <w:r w:rsidRPr="00EC4296">
        <w:rPr>
          <w:rFonts w:eastAsia="Times New Roman" w:cs="Arial"/>
          <w:b/>
          <w:bCs/>
        </w:rPr>
        <w:t>OC Mission Statement</w:t>
      </w:r>
      <w:r>
        <w:rPr>
          <w:rFonts w:eastAsia="Times New Roman" w:cs="Arial"/>
          <w:b/>
          <w:bCs/>
        </w:rPr>
        <w:t>:</w:t>
      </w:r>
    </w:p>
    <w:p w14:paraId="225AF890" w14:textId="77777777" w:rsidR="008C3DA0" w:rsidRPr="00EC4296" w:rsidRDefault="008C3DA0" w:rsidP="008C3DA0">
      <w:pPr>
        <w:spacing w:after="0"/>
        <w:ind w:left="360"/>
        <w:rPr>
          <w:rFonts w:eastAsia="Times New Roman" w:cs="Times New Roman"/>
        </w:rPr>
      </w:pPr>
      <w:r w:rsidRPr="00EC4296">
        <w:rPr>
          <w:rStyle w:val="Emphasis"/>
        </w:rPr>
        <w:t>Oklahoma Christian University is a higher learning community that transforms lives for Christian faith, scholarship, and service.</w:t>
      </w:r>
    </w:p>
    <w:p w14:paraId="16FE66AF" w14:textId="77777777" w:rsidR="008C3DA0" w:rsidRPr="00EC4296" w:rsidRDefault="008C3DA0" w:rsidP="008C3DA0">
      <w:pPr>
        <w:spacing w:after="0"/>
        <w:rPr>
          <w:rFonts w:eastAsia="Times New Roman" w:cs="Times New Roman"/>
        </w:rPr>
      </w:pPr>
    </w:p>
    <w:p w14:paraId="38B60E28" w14:textId="4CF45755" w:rsidR="008C3DA0" w:rsidRPr="00EC4296" w:rsidRDefault="008C3DA0" w:rsidP="008C3DA0">
      <w:pPr>
        <w:pStyle w:val="ListParagraph"/>
        <w:numPr>
          <w:ilvl w:val="0"/>
          <w:numId w:val="1"/>
        </w:numPr>
        <w:spacing w:after="0"/>
        <w:rPr>
          <w:rFonts w:eastAsia="Times New Roman" w:cs="Times New Roman"/>
          <w:b/>
        </w:rPr>
      </w:pPr>
      <w:r>
        <w:rPr>
          <w:rFonts w:eastAsia="Times New Roman" w:cs="Arial"/>
          <w:b/>
          <w:bCs/>
          <w:color w:val="000000"/>
        </w:rPr>
        <w:t xml:space="preserve">Course Description (from the OC catalogue): </w:t>
      </w:r>
      <w:r>
        <w:rPr>
          <w:rFonts w:eastAsia="Times New Roman" w:cs="Arial"/>
          <w:color w:val="000000"/>
        </w:rPr>
        <w:t>This course</w:t>
      </w:r>
      <w:r>
        <w:rPr>
          <w:rFonts w:eastAsia="Times New Roman" w:cs="Arial"/>
          <w:color w:val="000000"/>
        </w:rPr>
        <w:t xml:space="preserve"> is</w:t>
      </w:r>
      <w:r>
        <w:rPr>
          <w:rFonts w:eastAsia="Times New Roman" w:cs="Arial"/>
          <w:color w:val="000000"/>
        </w:rPr>
        <w:t xml:space="preserve"> </w:t>
      </w:r>
      <w:r w:rsidRPr="008C3DA0">
        <w:rPr>
          <w:rFonts w:eastAsia="Times New Roman" w:cs="Arial"/>
          <w:i/>
          <w:iCs/>
          <w:color w:val="000000"/>
        </w:rPr>
        <w:t>“</w:t>
      </w:r>
      <w:r w:rsidRPr="008C3DA0">
        <w:rPr>
          <w:i/>
          <w:iCs/>
        </w:rPr>
        <w:t>A study of the establishment and growth of the early church. Emphasis is placed on the major Christian doctrines taught in the first century and the application of those doctrines to the life of the early church</w:t>
      </w:r>
      <w:r>
        <w:t>.</w:t>
      </w:r>
      <w:r>
        <w:rPr>
          <w:rFonts w:eastAsia="Times New Roman" w:cs="Arial"/>
          <w:color w:val="000000"/>
        </w:rPr>
        <w:t xml:space="preserve">”  </w:t>
      </w:r>
      <w:r w:rsidRPr="008341A6">
        <w:rPr>
          <w:rFonts w:eastAsia="Times New Roman" w:cs="Arial"/>
          <w:color w:val="000000"/>
        </w:rPr>
        <w:t xml:space="preserve"> </w:t>
      </w:r>
    </w:p>
    <w:p w14:paraId="3B49F26B" w14:textId="77777777" w:rsidR="008C3DA0" w:rsidRPr="00A52E9D" w:rsidRDefault="008C3DA0" w:rsidP="008C3DA0">
      <w:pPr>
        <w:pStyle w:val="ListParagraph"/>
        <w:ind w:left="360"/>
        <w:rPr>
          <w:rFonts w:eastAsia="Times New Roman" w:cs="Times New Roman"/>
          <w:iCs/>
        </w:rPr>
      </w:pPr>
    </w:p>
    <w:p w14:paraId="1EE5BD34" w14:textId="77777777" w:rsidR="008C3DA0" w:rsidRPr="00A52E9D" w:rsidRDefault="008C3DA0" w:rsidP="008C3DA0">
      <w:pPr>
        <w:pStyle w:val="ListParagraph"/>
        <w:numPr>
          <w:ilvl w:val="0"/>
          <w:numId w:val="1"/>
        </w:numPr>
        <w:spacing w:after="0"/>
        <w:rPr>
          <w:rFonts w:eastAsia="Times New Roman" w:cs="Times New Roman"/>
          <w:b/>
        </w:rPr>
      </w:pPr>
      <w:r w:rsidRPr="00CB0824">
        <w:rPr>
          <w:rFonts w:eastAsia="Times New Roman" w:cs="Arial"/>
          <w:b/>
          <w:bCs/>
          <w:color w:val="000000"/>
        </w:rPr>
        <w:t>Christian Worldview &amp; Teaching Philosophy</w:t>
      </w:r>
    </w:p>
    <w:p w14:paraId="6E982E8F" w14:textId="77777777" w:rsidR="008C3DA0" w:rsidRDefault="008C3DA0" w:rsidP="008C3DA0">
      <w:pPr>
        <w:pStyle w:val="ListParagraph"/>
        <w:spacing w:after="0"/>
        <w:ind w:left="360"/>
        <w:rPr>
          <w:rFonts w:cstheme="minorHAnsi"/>
        </w:rPr>
      </w:pPr>
      <w:r>
        <w:rPr>
          <w:rFonts w:cstheme="minorHAnsi"/>
        </w:rPr>
        <w:t>This course is an Oklahoma Christian University Bible course offered for credit at the Northwest School of Discipleship (NWSD), based in Tigard, Oregon</w:t>
      </w:r>
      <w:proofErr w:type="gramStart"/>
      <w:r>
        <w:rPr>
          <w:rFonts w:cstheme="minorHAnsi"/>
        </w:rPr>
        <w:t xml:space="preserve">.  </w:t>
      </w:r>
      <w:proofErr w:type="gramEnd"/>
      <w:r>
        <w:rPr>
          <w:rFonts w:cstheme="minorHAnsi"/>
        </w:rPr>
        <w:t>NWSD is a church-based educational initiative that seeks to help transform believers into the image of Christ through offering Biblical courses grounded in the three essential features of discipleship:  Knowledge, Affection, Obedience</w:t>
      </w:r>
      <w:proofErr w:type="gramStart"/>
      <w:r>
        <w:rPr>
          <w:rFonts w:cstheme="minorHAnsi"/>
        </w:rPr>
        <w:t xml:space="preserve">.  </w:t>
      </w:r>
      <w:proofErr w:type="gramEnd"/>
      <w:r>
        <w:rPr>
          <w:rFonts w:cstheme="minorHAnsi"/>
        </w:rPr>
        <w:t xml:space="preserve"> </w:t>
      </w:r>
    </w:p>
    <w:p w14:paraId="5F3F0667" w14:textId="77777777" w:rsidR="008C3DA0" w:rsidRPr="00A52E9D" w:rsidRDefault="008C3DA0" w:rsidP="008C3DA0">
      <w:pPr>
        <w:pStyle w:val="ListParagraph"/>
        <w:spacing w:after="0"/>
        <w:ind w:left="360"/>
        <w:rPr>
          <w:rFonts w:eastAsia="Times New Roman" w:cstheme="minorHAnsi"/>
          <w:i/>
          <w:color w:val="000000"/>
        </w:rPr>
      </w:pPr>
    </w:p>
    <w:p w14:paraId="0FE59156" w14:textId="77777777" w:rsidR="008C3DA0" w:rsidRPr="00F56996" w:rsidRDefault="008C3DA0" w:rsidP="008C3DA0">
      <w:pPr>
        <w:pStyle w:val="ListParagraph"/>
        <w:numPr>
          <w:ilvl w:val="0"/>
          <w:numId w:val="1"/>
        </w:numPr>
        <w:rPr>
          <w:rFonts w:eastAsia="Times New Roman" w:cs="Times New Roman"/>
          <w:b/>
        </w:rPr>
      </w:pPr>
      <w:r>
        <w:rPr>
          <w:rFonts w:eastAsia="Times New Roman" w:cs="Arial"/>
          <w:b/>
          <w:bCs/>
          <w:color w:val="000000"/>
        </w:rPr>
        <w:t xml:space="preserve"> </w:t>
      </w:r>
      <w:r w:rsidRPr="00F56996">
        <w:rPr>
          <w:rFonts w:eastAsia="Times New Roman" w:cs="Arial"/>
          <w:b/>
          <w:bCs/>
          <w:color w:val="000000"/>
        </w:rPr>
        <w:t xml:space="preserve">Course Objectives: </w:t>
      </w:r>
    </w:p>
    <w:p w14:paraId="750543A4" w14:textId="50E7CDD4" w:rsidR="008C3DA0" w:rsidRPr="00A147EA" w:rsidRDefault="008C3DA0" w:rsidP="008C3DA0">
      <w:pPr>
        <w:pStyle w:val="ListParagraph"/>
        <w:numPr>
          <w:ilvl w:val="0"/>
          <w:numId w:val="6"/>
        </w:numPr>
        <w:spacing w:after="0"/>
        <w:rPr>
          <w:rFonts w:eastAsia="Times New Roman" w:cs="Times New Roman"/>
          <w:b/>
        </w:rPr>
      </w:pPr>
      <w:r>
        <w:t xml:space="preserve">Equip students to effectively discuss the form, genre, and essential content of </w:t>
      </w:r>
      <w:r>
        <w:t>the book of Acts</w:t>
      </w:r>
      <w:r>
        <w:t>.</w:t>
      </w:r>
    </w:p>
    <w:p w14:paraId="6600DBA5" w14:textId="0074B404" w:rsidR="008C3DA0" w:rsidRPr="00A147EA" w:rsidRDefault="008C3DA0" w:rsidP="008C3DA0">
      <w:pPr>
        <w:pStyle w:val="ListParagraph"/>
        <w:numPr>
          <w:ilvl w:val="0"/>
          <w:numId w:val="6"/>
        </w:numPr>
        <w:spacing w:after="0"/>
        <w:rPr>
          <w:rFonts w:eastAsia="Times New Roman" w:cs="Times New Roman"/>
          <w:b/>
        </w:rPr>
      </w:pPr>
      <w:r>
        <w:t xml:space="preserve">Equip students with essential skills for responsible interpretation </w:t>
      </w:r>
      <w:r w:rsidR="00AC7E4B">
        <w:t xml:space="preserve">and application </w:t>
      </w:r>
      <w:r>
        <w:t>of the New Testament from an Evangelical Christian perspective.</w:t>
      </w:r>
    </w:p>
    <w:p w14:paraId="49F72687" w14:textId="77777777" w:rsidR="008C3DA0" w:rsidRPr="003D497B" w:rsidRDefault="008C3DA0" w:rsidP="008C3DA0">
      <w:pPr>
        <w:pStyle w:val="ListParagraph"/>
        <w:numPr>
          <w:ilvl w:val="0"/>
          <w:numId w:val="6"/>
        </w:numPr>
        <w:spacing w:after="0"/>
        <w:rPr>
          <w:rFonts w:eastAsia="Times New Roman" w:cs="Times New Roman"/>
          <w:b/>
        </w:rPr>
      </w:pPr>
      <w:r>
        <w:t>Equip students with general knowledge of the intertestamental period and the cultural and historical contexts of the first century Greco-Roman world.</w:t>
      </w:r>
    </w:p>
    <w:p w14:paraId="298DDDDD" w14:textId="5EFD5508" w:rsidR="008C3DA0" w:rsidRPr="003D497B" w:rsidRDefault="008C3DA0" w:rsidP="008C3DA0">
      <w:pPr>
        <w:pStyle w:val="ListParagraph"/>
        <w:numPr>
          <w:ilvl w:val="0"/>
          <w:numId w:val="6"/>
        </w:numPr>
        <w:spacing w:after="0"/>
        <w:rPr>
          <w:rFonts w:eastAsia="Times New Roman" w:cs="Times New Roman"/>
          <w:b/>
        </w:rPr>
      </w:pPr>
      <w:r>
        <w:t xml:space="preserve">Equip students with a survey-level knowledge of the major theological themes in the life of </w:t>
      </w:r>
      <w:r>
        <w:t>the early Church, as witnessed through the Acts of the Apostles</w:t>
      </w:r>
      <w:r>
        <w:t>.</w:t>
      </w:r>
    </w:p>
    <w:p w14:paraId="42853270" w14:textId="30A88BA0" w:rsidR="008C3DA0" w:rsidRPr="007542FD" w:rsidRDefault="008C3DA0" w:rsidP="008C3DA0">
      <w:pPr>
        <w:pStyle w:val="ListParagraph"/>
        <w:numPr>
          <w:ilvl w:val="0"/>
          <w:numId w:val="6"/>
        </w:numPr>
        <w:spacing w:after="0"/>
        <w:rPr>
          <w:rFonts w:eastAsia="Times New Roman" w:cs="Times New Roman"/>
          <w:b/>
        </w:rPr>
      </w:pPr>
      <w:r>
        <w:t xml:space="preserve">Inspire students to know, love, and obey Jesus Christ and to develop </w:t>
      </w:r>
      <w:r>
        <w:t>the same spiritual habits of the earliest Christians</w:t>
      </w:r>
      <w:r w:rsidR="00EA5AC0">
        <w:t>, who “devoted themselves to the apostles’ teaching and the fellowship, to the breaking of bread and the prayers.” (Acts 2:42)</w:t>
      </w:r>
      <w:r>
        <w:t xml:space="preserve"> </w:t>
      </w:r>
    </w:p>
    <w:p w14:paraId="0AECD3A6" w14:textId="77777777" w:rsidR="008C3DA0" w:rsidRPr="00A147EA" w:rsidRDefault="008C3DA0" w:rsidP="008C3DA0">
      <w:pPr>
        <w:pStyle w:val="ListParagraph"/>
        <w:spacing w:after="0"/>
        <w:rPr>
          <w:rFonts w:eastAsia="Times New Roman" w:cs="Times New Roman"/>
          <w:b/>
        </w:rPr>
      </w:pPr>
    </w:p>
    <w:p w14:paraId="3A803C6E" w14:textId="77777777" w:rsidR="008C3DA0" w:rsidRDefault="008C3DA0" w:rsidP="008C3DA0">
      <w:pPr>
        <w:pStyle w:val="ListParagraph"/>
        <w:numPr>
          <w:ilvl w:val="0"/>
          <w:numId w:val="1"/>
        </w:numPr>
        <w:spacing w:before="240" w:after="0"/>
        <w:rPr>
          <w:rFonts w:eastAsia="Times New Roman" w:cs="Times New Roman"/>
          <w:b/>
        </w:rPr>
      </w:pPr>
      <w:r>
        <w:rPr>
          <w:rFonts w:eastAsia="Times New Roman" w:cs="Times New Roman"/>
          <w:b/>
        </w:rPr>
        <w:t>Course Textbooks:</w:t>
      </w:r>
    </w:p>
    <w:p w14:paraId="649B197B" w14:textId="77777777" w:rsidR="008C3DA0" w:rsidRDefault="008C3DA0" w:rsidP="00AC7E4B">
      <w:pPr>
        <w:pStyle w:val="ListParagraph"/>
        <w:spacing w:before="240" w:after="0" w:line="240" w:lineRule="auto"/>
        <w:rPr>
          <w:rFonts w:eastAsia="Times New Roman" w:cs="Times New Roman"/>
          <w:b/>
        </w:rPr>
      </w:pPr>
      <w:r>
        <w:rPr>
          <w:rFonts w:eastAsia="Times New Roman" w:cs="Times New Roman"/>
          <w:b/>
        </w:rPr>
        <w:t>Required:</w:t>
      </w:r>
    </w:p>
    <w:p w14:paraId="5823CF3D" w14:textId="77777777" w:rsidR="00AC7E4B" w:rsidRPr="00AC7E4B" w:rsidRDefault="00EA5AC0" w:rsidP="00AC7E4B">
      <w:pPr>
        <w:numPr>
          <w:ilvl w:val="0"/>
          <w:numId w:val="5"/>
        </w:numPr>
        <w:shd w:val="clear" w:color="auto" w:fill="FFFFFF"/>
        <w:spacing w:before="240" w:after="0" w:line="240" w:lineRule="auto"/>
        <w:contextualSpacing/>
        <w:rPr>
          <w:rFonts w:eastAsia="Times New Roman" w:cs="Times New Roman"/>
          <w:b/>
        </w:rPr>
      </w:pPr>
      <w:r w:rsidRPr="00AC7E4B">
        <w:rPr>
          <w:rFonts w:eastAsia="Times New Roman" w:cstheme="minorHAnsi"/>
          <w:color w:val="0F1111"/>
        </w:rPr>
        <w:t xml:space="preserve">Robert </w:t>
      </w:r>
      <w:proofErr w:type="gramStart"/>
      <w:r w:rsidRPr="00AC7E4B">
        <w:rPr>
          <w:rFonts w:eastAsia="Times New Roman" w:cstheme="minorHAnsi"/>
          <w:color w:val="0F1111"/>
        </w:rPr>
        <w:t xml:space="preserve">E.  </w:t>
      </w:r>
      <w:proofErr w:type="gramEnd"/>
      <w:r w:rsidRPr="00AC7E4B">
        <w:rPr>
          <w:rFonts w:eastAsia="Times New Roman" w:cstheme="minorHAnsi"/>
          <w:color w:val="0F1111"/>
        </w:rPr>
        <w:t xml:space="preserve">Coleman, </w:t>
      </w:r>
      <w:r w:rsidRPr="00AC7E4B">
        <w:rPr>
          <w:rFonts w:eastAsia="Times New Roman" w:cstheme="minorHAnsi"/>
          <w:i/>
          <w:iCs/>
          <w:color w:val="0F1111"/>
        </w:rPr>
        <w:t>The Master Plan of Discipleship</w:t>
      </w:r>
      <w:proofErr w:type="gramStart"/>
      <w:r w:rsidRPr="00AC7E4B">
        <w:rPr>
          <w:rFonts w:eastAsia="Times New Roman" w:cstheme="minorHAnsi"/>
          <w:color w:val="0F1111"/>
        </w:rPr>
        <w:t xml:space="preserve">.  </w:t>
      </w:r>
      <w:proofErr w:type="gramEnd"/>
      <w:r w:rsidRPr="00AC7E4B">
        <w:rPr>
          <w:rFonts w:eastAsia="Times New Roman" w:cstheme="minorHAnsi"/>
          <w:color w:val="0F1111"/>
        </w:rPr>
        <w:t>Revell, 2020</w:t>
      </w:r>
      <w:proofErr w:type="gramStart"/>
      <w:r w:rsidRPr="00AC7E4B">
        <w:rPr>
          <w:rFonts w:eastAsia="Times New Roman" w:cstheme="minorHAnsi"/>
          <w:color w:val="0F1111"/>
        </w:rPr>
        <w:t xml:space="preserve">.  </w:t>
      </w:r>
      <w:proofErr w:type="gramEnd"/>
      <w:r w:rsidRPr="00EA5AC0">
        <w:rPr>
          <w:rFonts w:eastAsia="Times New Roman" w:cstheme="minorHAnsi"/>
          <w:color w:val="0F1111"/>
        </w:rPr>
        <w:t>ISBN: ‎ 978-0800739133</w:t>
      </w:r>
    </w:p>
    <w:p w14:paraId="440185F8" w14:textId="49BC162D" w:rsidR="008C3DA0" w:rsidRDefault="008C3DA0" w:rsidP="00AC7E4B">
      <w:pPr>
        <w:pStyle w:val="NoSpacing"/>
        <w:numPr>
          <w:ilvl w:val="0"/>
          <w:numId w:val="5"/>
        </w:numPr>
        <w:contextualSpacing/>
      </w:pPr>
      <w:r w:rsidRPr="00900EC4">
        <w:rPr>
          <w:u w:val="single"/>
        </w:rPr>
        <w:t>ESV Study Bible</w:t>
      </w:r>
      <w:r>
        <w:t>, Crossway, 2008</w:t>
      </w:r>
      <w:proofErr w:type="gramStart"/>
      <w:r>
        <w:t xml:space="preserve">.  </w:t>
      </w:r>
      <w:proofErr w:type="gramEnd"/>
      <w:r>
        <w:rPr>
          <w:b/>
          <w:bCs/>
        </w:rPr>
        <w:t xml:space="preserve">ISBN: </w:t>
      </w:r>
      <w:r>
        <w:t>978-1-4335-0241-5</w:t>
      </w:r>
    </w:p>
    <w:p w14:paraId="4FAB9211" w14:textId="040F683A" w:rsidR="00BC1063" w:rsidRDefault="00BC1063" w:rsidP="00BC1063">
      <w:pPr>
        <w:pStyle w:val="NoSpacing"/>
        <w:contextualSpacing/>
      </w:pPr>
    </w:p>
    <w:p w14:paraId="5E1E2893" w14:textId="34346600" w:rsidR="00BC1063" w:rsidRPr="00BC1063" w:rsidRDefault="00BC1063" w:rsidP="00BC1063">
      <w:pPr>
        <w:pStyle w:val="NoSpacing"/>
        <w:ind w:left="720"/>
        <w:contextualSpacing/>
        <w:rPr>
          <w:b/>
          <w:bCs/>
        </w:rPr>
      </w:pPr>
      <w:r w:rsidRPr="00BC1063">
        <w:rPr>
          <w:b/>
          <w:bCs/>
        </w:rPr>
        <w:t>Recommended:</w:t>
      </w:r>
    </w:p>
    <w:p w14:paraId="07932D10" w14:textId="1D7D14E9" w:rsidR="00BC1063" w:rsidRPr="00BC1063" w:rsidRDefault="00BC1063" w:rsidP="00BC1063">
      <w:pPr>
        <w:numPr>
          <w:ilvl w:val="0"/>
          <w:numId w:val="5"/>
        </w:numPr>
        <w:shd w:val="clear" w:color="auto" w:fill="FFFFFF"/>
        <w:spacing w:before="240" w:after="0" w:line="240" w:lineRule="auto"/>
        <w:contextualSpacing/>
        <w:rPr>
          <w:rFonts w:eastAsia="Times New Roman" w:cs="Times New Roman"/>
          <w:b/>
        </w:rPr>
      </w:pPr>
      <w:r w:rsidRPr="00AC7E4B">
        <w:rPr>
          <w:rFonts w:eastAsia="Times New Roman" w:cs="Times New Roman"/>
          <w:bCs/>
        </w:rPr>
        <w:lastRenderedPageBreak/>
        <w:t>George H. Guthrie, R</w:t>
      </w:r>
      <w:r w:rsidRPr="00AC7E4B">
        <w:rPr>
          <w:rFonts w:eastAsia="Times New Roman" w:cs="Times New Roman"/>
          <w:bCs/>
          <w:i/>
          <w:iCs/>
        </w:rPr>
        <w:t xml:space="preserve">ead the Bible </w:t>
      </w:r>
      <w:proofErr w:type="gramStart"/>
      <w:r w:rsidRPr="00AC7E4B">
        <w:rPr>
          <w:rFonts w:eastAsia="Times New Roman" w:cs="Times New Roman"/>
          <w:bCs/>
          <w:i/>
          <w:iCs/>
        </w:rPr>
        <w:t>For</w:t>
      </w:r>
      <w:proofErr w:type="gramEnd"/>
      <w:r w:rsidRPr="00AC7E4B">
        <w:rPr>
          <w:rFonts w:eastAsia="Times New Roman" w:cs="Times New Roman"/>
          <w:bCs/>
          <w:i/>
          <w:iCs/>
        </w:rPr>
        <w:t xml:space="preserve"> Life.  Your guide to Understanding and Living God’s Word</w:t>
      </w:r>
      <w:proofErr w:type="gramStart"/>
      <w:r w:rsidRPr="00AC7E4B">
        <w:rPr>
          <w:rFonts w:eastAsia="Times New Roman" w:cs="Times New Roman"/>
          <w:bCs/>
        </w:rPr>
        <w:t xml:space="preserve">.  </w:t>
      </w:r>
      <w:proofErr w:type="gramEnd"/>
      <w:r w:rsidRPr="00AC7E4B">
        <w:rPr>
          <w:rFonts w:eastAsia="Times New Roman" w:cs="Times New Roman"/>
          <w:bCs/>
        </w:rPr>
        <w:t>B&amp;H Publishing, 2011</w:t>
      </w:r>
      <w:proofErr w:type="gramStart"/>
      <w:r w:rsidRPr="00AC7E4B">
        <w:rPr>
          <w:rFonts w:eastAsia="Times New Roman" w:cs="Times New Roman"/>
          <w:bCs/>
        </w:rPr>
        <w:t>.</w:t>
      </w:r>
      <w:r w:rsidRPr="00AC7E4B">
        <w:rPr>
          <w:rFonts w:eastAsia="Times New Roman" w:cs="Times New Roman"/>
          <w:b/>
        </w:rPr>
        <w:t xml:space="preserve">  </w:t>
      </w:r>
      <w:proofErr w:type="gramEnd"/>
      <w:r w:rsidRPr="00AC7E4B">
        <w:rPr>
          <w:rFonts w:eastAsia="Times New Roman" w:cs="Times New Roman"/>
          <w:b/>
        </w:rPr>
        <w:t xml:space="preserve">ISBN: </w:t>
      </w:r>
      <w:r w:rsidRPr="00AC7E4B">
        <w:rPr>
          <w:rFonts w:eastAsia="Times New Roman" w:cs="Times New Roman"/>
          <w:bCs/>
        </w:rPr>
        <w:t xml:space="preserve">978-0805464542. </w:t>
      </w:r>
    </w:p>
    <w:p w14:paraId="6297E5CA" w14:textId="072AF079" w:rsidR="00BC1063" w:rsidRPr="00AC7E4B" w:rsidRDefault="00BC1063" w:rsidP="00BC1063">
      <w:pPr>
        <w:numPr>
          <w:ilvl w:val="0"/>
          <w:numId w:val="5"/>
        </w:numPr>
        <w:shd w:val="clear" w:color="auto" w:fill="FFFFFF"/>
        <w:spacing w:before="240" w:after="0" w:line="240" w:lineRule="auto"/>
        <w:contextualSpacing/>
        <w:rPr>
          <w:rFonts w:eastAsia="Times New Roman" w:cs="Times New Roman"/>
          <w:b/>
        </w:rPr>
      </w:pPr>
      <w:r>
        <w:rPr>
          <w:rFonts w:eastAsia="Times New Roman" w:cs="Times New Roman"/>
          <w:bCs/>
        </w:rPr>
        <w:t xml:space="preserve">Mark E. Moore, </w:t>
      </w:r>
      <w:r w:rsidRPr="00BC1063">
        <w:rPr>
          <w:rFonts w:eastAsia="Times New Roman" w:cs="Times New Roman"/>
          <w:bCs/>
          <w:i/>
          <w:iCs/>
        </w:rPr>
        <w:t>Acts - The College Press NIV Commentary</w:t>
      </w:r>
      <w:proofErr w:type="gramStart"/>
      <w:r>
        <w:rPr>
          <w:rFonts w:eastAsia="Times New Roman" w:cs="Times New Roman"/>
          <w:bCs/>
        </w:rPr>
        <w:t xml:space="preserve">.  </w:t>
      </w:r>
      <w:proofErr w:type="gramEnd"/>
      <w:r>
        <w:rPr>
          <w:rFonts w:eastAsia="Times New Roman" w:cs="Times New Roman"/>
          <w:bCs/>
        </w:rPr>
        <w:t>Joplin, Missouri: College Press, 2011.</w:t>
      </w:r>
    </w:p>
    <w:p w14:paraId="109A3941" w14:textId="77777777" w:rsidR="00BC1063" w:rsidRDefault="00BC1063" w:rsidP="00BC1063">
      <w:pPr>
        <w:pStyle w:val="NoSpacing"/>
        <w:ind w:left="720"/>
        <w:contextualSpacing/>
      </w:pPr>
    </w:p>
    <w:p w14:paraId="097D461A" w14:textId="77777777" w:rsidR="008C3DA0" w:rsidRDefault="008C3DA0" w:rsidP="008C3DA0">
      <w:pPr>
        <w:spacing w:before="240" w:after="0" w:line="240" w:lineRule="auto"/>
        <w:ind w:left="720"/>
        <w:rPr>
          <w:rFonts w:eastAsia="Times New Roman" w:cs="Times New Roman"/>
          <w:b/>
        </w:rPr>
      </w:pPr>
    </w:p>
    <w:p w14:paraId="1B1D5ACB" w14:textId="77777777" w:rsidR="008C3DA0" w:rsidRPr="0050075E" w:rsidRDefault="008C3DA0" w:rsidP="008C3DA0">
      <w:pPr>
        <w:pStyle w:val="ListParagraph"/>
        <w:numPr>
          <w:ilvl w:val="0"/>
          <w:numId w:val="1"/>
        </w:numPr>
        <w:spacing w:before="240" w:after="0"/>
        <w:rPr>
          <w:rFonts w:eastAsia="Times New Roman" w:cs="Times New Roman"/>
          <w:b/>
        </w:rPr>
      </w:pPr>
      <w:r w:rsidRPr="0050075E">
        <w:rPr>
          <w:rFonts w:eastAsia="Times New Roman" w:cs="Arial"/>
          <w:b/>
          <w:bCs/>
          <w:color w:val="000000"/>
        </w:rPr>
        <w:t>Course Requirements:</w:t>
      </w:r>
    </w:p>
    <w:p w14:paraId="5030E501" w14:textId="16E79ADF" w:rsidR="008C3DA0" w:rsidRPr="007542FD" w:rsidRDefault="008C3DA0" w:rsidP="008C3DA0">
      <w:pPr>
        <w:pStyle w:val="ListParagraph"/>
        <w:numPr>
          <w:ilvl w:val="0"/>
          <w:numId w:val="7"/>
        </w:numPr>
        <w:spacing w:after="0" w:line="240" w:lineRule="auto"/>
        <w:ind w:right="-720"/>
        <w:rPr>
          <w:b/>
          <w:bCs/>
        </w:rPr>
      </w:pPr>
      <w:r w:rsidRPr="007542FD">
        <w:rPr>
          <w:b/>
          <w:bCs/>
        </w:rPr>
        <w:t xml:space="preserve">Weekly Quizzes </w:t>
      </w:r>
      <w:r w:rsidRPr="007542FD">
        <w:t>(35%)</w:t>
      </w:r>
      <w:proofErr w:type="gramStart"/>
      <w:r w:rsidRPr="007542FD">
        <w:t>.</w:t>
      </w:r>
      <w:r w:rsidRPr="007542FD">
        <w:rPr>
          <w:b/>
          <w:bCs/>
        </w:rPr>
        <w:t xml:space="preserve">  </w:t>
      </w:r>
      <w:proofErr w:type="gramEnd"/>
      <w:r>
        <w:t>Each</w:t>
      </w:r>
      <w:r w:rsidRPr="00FD444A">
        <w:t xml:space="preserve"> class begin</w:t>
      </w:r>
      <w:r>
        <w:t>s</w:t>
      </w:r>
      <w:r w:rsidRPr="00FD444A">
        <w:t xml:space="preserve"> with a </w:t>
      </w:r>
      <w:r>
        <w:t>25</w:t>
      </w:r>
      <w:r w:rsidR="007D63F5">
        <w:t>-</w:t>
      </w:r>
      <w:r>
        <w:t xml:space="preserve">question quiz over select </w:t>
      </w:r>
      <w:r w:rsidR="0018282C">
        <w:t>content</w:t>
      </w:r>
      <w:r>
        <w:t xml:space="preserve"> from the previous class </w:t>
      </w:r>
      <w:r w:rsidR="00AC7E4B">
        <w:t>lecture/discussion</w:t>
      </w:r>
      <w:r>
        <w:t xml:space="preserve"> and the reading material for the day</w:t>
      </w:r>
      <w:proofErr w:type="gramStart"/>
      <w:r>
        <w:t xml:space="preserve">.  </w:t>
      </w:r>
      <w:proofErr w:type="gramEnd"/>
      <w:r>
        <w:t>The lowest quiz score will be dropped and not calculated into the grade</w:t>
      </w:r>
      <w:proofErr w:type="gramStart"/>
      <w:r>
        <w:t xml:space="preserve">.  </w:t>
      </w:r>
      <w:proofErr w:type="gramEnd"/>
      <w:r>
        <w:t>Except for extreme circumstances, there are no make ups for missed quizzes.</w:t>
      </w:r>
    </w:p>
    <w:p w14:paraId="7ECE273C" w14:textId="77777777" w:rsidR="008C3DA0" w:rsidRPr="007542FD" w:rsidRDefault="008C3DA0" w:rsidP="008C3DA0">
      <w:pPr>
        <w:pStyle w:val="ListParagraph"/>
        <w:spacing w:after="0" w:line="240" w:lineRule="auto"/>
        <w:ind w:right="-720"/>
        <w:rPr>
          <w:b/>
          <w:bCs/>
        </w:rPr>
      </w:pPr>
    </w:p>
    <w:p w14:paraId="45C41AC3" w14:textId="38C2D156" w:rsidR="008C3DA0" w:rsidRDefault="008C3DA0" w:rsidP="008C3DA0">
      <w:pPr>
        <w:pStyle w:val="ListParagraph"/>
        <w:numPr>
          <w:ilvl w:val="0"/>
          <w:numId w:val="7"/>
        </w:numPr>
        <w:spacing w:after="0" w:line="240" w:lineRule="auto"/>
        <w:ind w:right="-720"/>
      </w:pPr>
      <w:r w:rsidRPr="00387336">
        <w:rPr>
          <w:b/>
          <w:bCs/>
        </w:rPr>
        <w:t xml:space="preserve">Essay </w:t>
      </w:r>
      <w:r>
        <w:rPr>
          <w:b/>
          <w:bCs/>
        </w:rPr>
        <w:t>(</w:t>
      </w:r>
      <w:r w:rsidR="007D63F5">
        <w:t>30</w:t>
      </w:r>
      <w:r>
        <w:rPr>
          <w:b/>
          <w:bCs/>
        </w:rPr>
        <w:t>%)</w:t>
      </w:r>
      <w:proofErr w:type="gramStart"/>
      <w:r>
        <w:rPr>
          <w:b/>
          <w:bCs/>
        </w:rPr>
        <w:t xml:space="preserve">.  </w:t>
      </w:r>
      <w:proofErr w:type="gramEnd"/>
      <w:r>
        <w:t xml:space="preserve">Each student will write </w:t>
      </w:r>
      <w:r w:rsidR="00AC7E4B">
        <w:t>three</w:t>
      </w:r>
      <w:r>
        <w:t xml:space="preserve"> short essays during the term</w:t>
      </w:r>
      <w:proofErr w:type="gramStart"/>
      <w:r>
        <w:t xml:space="preserve">.  </w:t>
      </w:r>
      <w:proofErr w:type="gramEnd"/>
      <w:r>
        <w:t xml:space="preserve">The essays are 3-5 pages in length (double spaced) and represent reflection and critical responses to questions posed in </w:t>
      </w:r>
      <w:r w:rsidR="00AC7E4B">
        <w:t xml:space="preserve">Coleman, </w:t>
      </w:r>
      <w:r w:rsidR="00AC7E4B" w:rsidRPr="00AC7E4B">
        <w:rPr>
          <w:i/>
          <w:iCs/>
        </w:rPr>
        <w:t>The Master Plan of Discipleship</w:t>
      </w:r>
      <w:proofErr w:type="gramStart"/>
      <w:r>
        <w:t xml:space="preserve">.  </w:t>
      </w:r>
      <w:proofErr w:type="gramEnd"/>
      <w:r>
        <w:t>See the essay guideline sheet for detailed instructions on the essay assignment</w:t>
      </w:r>
      <w:proofErr w:type="gramStart"/>
      <w:r>
        <w:t xml:space="preserve">.  </w:t>
      </w:r>
      <w:proofErr w:type="gramEnd"/>
      <w:r w:rsidR="00AC7E4B">
        <w:t xml:space="preserve">Please </w:t>
      </w:r>
      <w:proofErr w:type="gramStart"/>
      <w:r w:rsidR="00AC7E4B">
        <w:t>note:</w:t>
      </w:r>
      <w:proofErr w:type="gramEnd"/>
      <w:r w:rsidR="007D63F5">
        <w:t xml:space="preserve">  </w:t>
      </w:r>
      <w:r w:rsidR="00AC7E4B">
        <w:t>in order to pass the course</w:t>
      </w:r>
      <w:r w:rsidR="007D63F5">
        <w:t xml:space="preserve"> with a C or higher</w:t>
      </w:r>
      <w:r w:rsidR="00AC7E4B">
        <w:t xml:space="preserve">, students must turn in all three essays. </w:t>
      </w:r>
    </w:p>
    <w:p w14:paraId="0F438F52" w14:textId="77777777" w:rsidR="008C3DA0" w:rsidRDefault="008C3DA0" w:rsidP="008C3DA0">
      <w:pPr>
        <w:pStyle w:val="ListParagraph"/>
      </w:pPr>
    </w:p>
    <w:p w14:paraId="3B4D8B76" w14:textId="2822A886" w:rsidR="007D63F5" w:rsidRDefault="007D63F5" w:rsidP="008C3DA0">
      <w:pPr>
        <w:pStyle w:val="ListParagraph"/>
        <w:numPr>
          <w:ilvl w:val="0"/>
          <w:numId w:val="7"/>
        </w:numPr>
        <w:spacing w:after="0" w:line="240" w:lineRule="auto"/>
        <w:ind w:right="-720"/>
        <w:rPr>
          <w:b/>
          <w:bCs/>
        </w:rPr>
      </w:pPr>
      <w:r>
        <w:rPr>
          <w:b/>
          <w:bCs/>
        </w:rPr>
        <w:t xml:space="preserve">Memorization </w:t>
      </w:r>
      <w:r w:rsidRPr="007D63F5">
        <w:t>(20%)</w:t>
      </w:r>
      <w:r>
        <w:rPr>
          <w:b/>
          <w:bCs/>
        </w:rPr>
        <w:t xml:space="preserve"> </w:t>
      </w:r>
      <w:r w:rsidRPr="007D63F5">
        <w:t xml:space="preserve">– Each student will memorize </w:t>
      </w:r>
      <w:r w:rsidR="00FB3EBD">
        <w:t>7-10</w:t>
      </w:r>
      <w:r w:rsidRPr="007D63F5">
        <w:t xml:space="preserve"> theologically significant passages from </w:t>
      </w:r>
      <w:r w:rsidRPr="00FB3EBD">
        <w:rPr>
          <w:i/>
          <w:iCs/>
        </w:rPr>
        <w:t>Acts</w:t>
      </w:r>
      <w:r w:rsidRPr="007D63F5">
        <w:t>. See the memorization guideline sheet for detailed instructions on the memorization assignment.</w:t>
      </w:r>
      <w:r>
        <w:rPr>
          <w:b/>
          <w:bCs/>
        </w:rPr>
        <w:t xml:space="preserve"> </w:t>
      </w:r>
    </w:p>
    <w:p w14:paraId="189CFA09" w14:textId="77777777" w:rsidR="007D63F5" w:rsidRDefault="007D63F5" w:rsidP="007D63F5">
      <w:pPr>
        <w:pStyle w:val="ListParagraph"/>
        <w:spacing w:after="0" w:line="240" w:lineRule="auto"/>
        <w:ind w:right="-720"/>
        <w:rPr>
          <w:b/>
          <w:bCs/>
        </w:rPr>
      </w:pPr>
    </w:p>
    <w:p w14:paraId="2DDE0685" w14:textId="47B68EDA" w:rsidR="008C3DA0" w:rsidRDefault="008C3DA0" w:rsidP="008C3DA0">
      <w:pPr>
        <w:pStyle w:val="ListParagraph"/>
        <w:numPr>
          <w:ilvl w:val="0"/>
          <w:numId w:val="7"/>
        </w:numPr>
        <w:spacing w:after="0" w:line="240" w:lineRule="auto"/>
        <w:ind w:right="-720"/>
        <w:rPr>
          <w:b/>
          <w:bCs/>
        </w:rPr>
      </w:pPr>
      <w:r w:rsidRPr="00ED275C">
        <w:rPr>
          <w:b/>
          <w:bCs/>
        </w:rPr>
        <w:t xml:space="preserve">Participation </w:t>
      </w:r>
      <w:r w:rsidRPr="002F0213">
        <w:t>(</w:t>
      </w:r>
      <w:r w:rsidR="00361DFE">
        <w:t>1</w:t>
      </w:r>
      <w:r>
        <w:t>5</w:t>
      </w:r>
      <w:r w:rsidRPr="002F0213">
        <w:t>%)</w:t>
      </w:r>
      <w:proofErr w:type="gramStart"/>
      <w:r w:rsidRPr="002F0213">
        <w:t xml:space="preserve">.  </w:t>
      </w:r>
      <w:proofErr w:type="gramEnd"/>
      <w:r w:rsidRPr="002F0213">
        <w:t xml:space="preserve"> </w:t>
      </w:r>
      <w:r>
        <w:t>Attendance and active participation in class is critical for learning</w:t>
      </w:r>
      <w:proofErr w:type="gramStart"/>
      <w:r>
        <w:t xml:space="preserve">.  </w:t>
      </w:r>
      <w:proofErr w:type="gramEnd"/>
      <w:r>
        <w:t xml:space="preserve">Students are expected to engage in class discussion, pay attention, take notes, and make appropriate comments. </w:t>
      </w:r>
      <w:r w:rsidR="00A0315F">
        <w:t>Note: due to the highly condensed nature of the course, attendance on each day of class is essential</w:t>
      </w:r>
      <w:proofErr w:type="gramStart"/>
      <w:r w:rsidR="00A0315F">
        <w:t xml:space="preserve">.  </w:t>
      </w:r>
      <w:proofErr w:type="gramEnd"/>
      <w:r w:rsidR="00A0315F">
        <w:t>Unexcused absence</w:t>
      </w:r>
      <w:r w:rsidR="00592BF7">
        <w:t>s</w:t>
      </w:r>
      <w:r w:rsidR="00A0315F">
        <w:t xml:space="preserve"> </w:t>
      </w:r>
      <w:r w:rsidR="00592BF7">
        <w:t xml:space="preserve">result in </w:t>
      </w:r>
      <w:r w:rsidR="00021E98">
        <w:t xml:space="preserve">serious </w:t>
      </w:r>
      <w:r w:rsidR="00A0315F">
        <w:t>consequences to the participation grade.</w:t>
      </w:r>
      <w:r>
        <w:t xml:space="preserve"> </w:t>
      </w:r>
    </w:p>
    <w:p w14:paraId="39ACEBF7" w14:textId="77777777" w:rsidR="008C3DA0" w:rsidRPr="00ED275C" w:rsidRDefault="008C3DA0" w:rsidP="008C3DA0">
      <w:pPr>
        <w:pStyle w:val="ListParagraph"/>
        <w:spacing w:after="0" w:line="240" w:lineRule="auto"/>
        <w:ind w:right="-720"/>
        <w:rPr>
          <w:b/>
          <w:bCs/>
        </w:rPr>
      </w:pPr>
    </w:p>
    <w:p w14:paraId="39E53FCB" w14:textId="77777777" w:rsidR="008C3DA0" w:rsidRPr="00CB0824" w:rsidRDefault="008C3DA0" w:rsidP="008C3DA0">
      <w:pPr>
        <w:pStyle w:val="ListParagraph"/>
        <w:numPr>
          <w:ilvl w:val="0"/>
          <w:numId w:val="1"/>
        </w:numPr>
        <w:spacing w:after="0"/>
        <w:rPr>
          <w:rFonts w:eastAsia="Times New Roman" w:cs="Times New Roman"/>
          <w:b/>
        </w:rPr>
      </w:pPr>
      <w:r>
        <w:rPr>
          <w:rFonts w:eastAsia="Times New Roman" w:cs="Arial"/>
          <w:b/>
          <w:bCs/>
          <w:color w:val="000000"/>
        </w:rPr>
        <w:t>Course Grading:</w:t>
      </w:r>
    </w:p>
    <w:p w14:paraId="2ACD1927" w14:textId="77777777" w:rsidR="008C3DA0" w:rsidRDefault="008C3DA0" w:rsidP="008C3DA0">
      <w:pPr>
        <w:pStyle w:val="NoSpacing"/>
        <w:spacing w:line="276" w:lineRule="auto"/>
        <w:ind w:left="360"/>
      </w:pPr>
      <w:r w:rsidRPr="00ED275C">
        <w:t>A = 100-90</w:t>
      </w:r>
      <w:r w:rsidRPr="00ED275C">
        <w:rPr>
          <w:b/>
          <w:bCs/>
        </w:rPr>
        <w:tab/>
      </w:r>
      <w:r>
        <w:rPr>
          <w:b/>
          <w:bCs/>
        </w:rPr>
        <w:tab/>
      </w:r>
      <w:r w:rsidRPr="00ED275C">
        <w:t>B = 89-80</w:t>
      </w:r>
      <w:r w:rsidRPr="00ED275C">
        <w:tab/>
        <w:t>C = 79-70</w:t>
      </w:r>
      <w:r w:rsidRPr="00ED275C">
        <w:tab/>
        <w:t>D = 69-60</w:t>
      </w:r>
      <w:r w:rsidRPr="00ED275C">
        <w:tab/>
        <w:t>F = 59 and belo</w:t>
      </w:r>
      <w:r>
        <w:t>w</w:t>
      </w:r>
    </w:p>
    <w:p w14:paraId="194AAECF" w14:textId="77777777" w:rsidR="008C3DA0" w:rsidRPr="0050075E" w:rsidRDefault="008C3DA0" w:rsidP="008C3DA0">
      <w:pPr>
        <w:pStyle w:val="NoSpacing"/>
        <w:spacing w:line="276" w:lineRule="auto"/>
        <w:ind w:left="360"/>
      </w:pPr>
    </w:p>
    <w:p w14:paraId="6120F32B" w14:textId="77777777" w:rsidR="008C3DA0" w:rsidRPr="000A3496" w:rsidRDefault="008C3DA0" w:rsidP="008C3DA0">
      <w:pPr>
        <w:pStyle w:val="ListParagraph"/>
        <w:numPr>
          <w:ilvl w:val="0"/>
          <w:numId w:val="1"/>
        </w:numPr>
        <w:spacing w:after="0"/>
        <w:rPr>
          <w:rFonts w:eastAsia="Times New Roman" w:cs="Times New Roman"/>
          <w:b/>
        </w:rPr>
      </w:pPr>
      <w:r w:rsidRPr="00D062A2">
        <w:rPr>
          <w:rFonts w:eastAsia="Times New Roman" w:cs="Arial"/>
          <w:b/>
          <w:bCs/>
          <w:color w:val="000000"/>
        </w:rPr>
        <w:t xml:space="preserve">Course Policies: </w:t>
      </w:r>
    </w:p>
    <w:p w14:paraId="481DACC3" w14:textId="45C4AF08" w:rsidR="008C3DA0" w:rsidRDefault="008C3DA0" w:rsidP="008C3DA0">
      <w:pPr>
        <w:pStyle w:val="ListParagraph"/>
        <w:numPr>
          <w:ilvl w:val="0"/>
          <w:numId w:val="3"/>
        </w:numPr>
        <w:spacing w:after="0" w:line="240" w:lineRule="auto"/>
        <w:ind w:right="-720"/>
        <w:rPr>
          <w:b/>
          <w:bCs/>
        </w:rPr>
      </w:pPr>
      <w:r>
        <w:rPr>
          <w:b/>
          <w:bCs/>
        </w:rPr>
        <w:t>Oklahoma Christian University (OC) and Northwest School of Discipleship (NWSD):</w:t>
      </w:r>
    </w:p>
    <w:p w14:paraId="35797D26" w14:textId="77777777" w:rsidR="008C3DA0" w:rsidRPr="00103F82" w:rsidRDefault="008C3DA0" w:rsidP="008C3DA0">
      <w:pPr>
        <w:pStyle w:val="ListParagraph"/>
        <w:ind w:left="0" w:right="-720"/>
        <w:rPr>
          <w:bCs/>
        </w:rPr>
      </w:pPr>
      <w:r>
        <w:rPr>
          <w:rFonts w:cs="Arial"/>
        </w:rPr>
        <w:t xml:space="preserve">This Northwest School of Discipleship course is accredited through a special arrangement with Oklahoma Christian University, Oklahoma City, Oklahoma. </w:t>
      </w:r>
      <w:r>
        <w:rPr>
          <w:bCs/>
        </w:rPr>
        <w:t xml:space="preserve">Visit </w:t>
      </w:r>
      <w:hyperlink r:id="rId9" w:history="1">
        <w:r w:rsidRPr="002070F5">
          <w:rPr>
            <w:rStyle w:val="Hyperlink"/>
            <w:bCs/>
          </w:rPr>
          <w:t>www.oc.edu</w:t>
        </w:r>
      </w:hyperlink>
      <w:r>
        <w:rPr>
          <w:bCs/>
        </w:rPr>
        <w:t xml:space="preserve"> for more information about OC and to access your transcripts.</w:t>
      </w:r>
      <w:r w:rsidRPr="00144B06">
        <w:t xml:space="preserve"> </w:t>
      </w:r>
    </w:p>
    <w:p w14:paraId="10C2D926" w14:textId="77777777" w:rsidR="008C3DA0" w:rsidRDefault="008C3DA0" w:rsidP="008C3DA0">
      <w:pPr>
        <w:pStyle w:val="BodyText"/>
        <w:numPr>
          <w:ilvl w:val="0"/>
          <w:numId w:val="3"/>
        </w:numPr>
        <w:rPr>
          <w:rFonts w:asciiTheme="minorHAnsi" w:hAnsiTheme="minorHAnsi"/>
          <w:b/>
          <w:szCs w:val="22"/>
        </w:rPr>
      </w:pPr>
      <w:r w:rsidRPr="00144B06">
        <w:rPr>
          <w:rFonts w:asciiTheme="minorHAnsi" w:hAnsiTheme="minorHAnsi"/>
          <w:b/>
          <w:szCs w:val="22"/>
        </w:rPr>
        <w:t>Late Work Policy:</w:t>
      </w:r>
      <w:r>
        <w:rPr>
          <w:rFonts w:asciiTheme="minorHAnsi" w:hAnsiTheme="minorHAnsi"/>
          <w:b/>
          <w:szCs w:val="22"/>
        </w:rPr>
        <w:t xml:space="preserve"> </w:t>
      </w:r>
      <w:r w:rsidRPr="00B615A2">
        <w:rPr>
          <w:rFonts w:asciiTheme="minorHAnsi" w:hAnsiTheme="minorHAnsi"/>
          <w:bCs/>
          <w:szCs w:val="22"/>
        </w:rPr>
        <w:t xml:space="preserve">Late work is not accepted. All work must be turned in at the time indicated in the course outline or as otherwise indicated by the instructor in class or via other </w:t>
      </w:r>
      <w:r>
        <w:rPr>
          <w:rFonts w:asciiTheme="minorHAnsi" w:hAnsiTheme="minorHAnsi"/>
          <w:bCs/>
          <w:szCs w:val="22"/>
        </w:rPr>
        <w:t xml:space="preserve">formal </w:t>
      </w:r>
      <w:r w:rsidRPr="00B615A2">
        <w:rPr>
          <w:rFonts w:asciiTheme="minorHAnsi" w:hAnsiTheme="minorHAnsi"/>
          <w:bCs/>
          <w:szCs w:val="22"/>
        </w:rPr>
        <w:t>means of communication.</w:t>
      </w:r>
      <w:r>
        <w:rPr>
          <w:rFonts w:asciiTheme="minorHAnsi" w:hAnsiTheme="minorHAnsi"/>
          <w:b/>
          <w:szCs w:val="22"/>
        </w:rPr>
        <w:t xml:space="preserve"> </w:t>
      </w:r>
    </w:p>
    <w:p w14:paraId="1E113F14" w14:textId="77777777" w:rsidR="008C3DA0" w:rsidRPr="00144B06" w:rsidRDefault="008C3DA0" w:rsidP="008C3DA0">
      <w:pPr>
        <w:pStyle w:val="BodyText"/>
        <w:ind w:left="720"/>
        <w:rPr>
          <w:rFonts w:asciiTheme="minorHAnsi" w:hAnsiTheme="minorHAnsi"/>
          <w:b/>
          <w:szCs w:val="22"/>
        </w:rPr>
      </w:pPr>
    </w:p>
    <w:p w14:paraId="16ADA58E" w14:textId="77777777" w:rsidR="008C3DA0" w:rsidRPr="00D63786" w:rsidRDefault="008C3DA0" w:rsidP="008C3DA0">
      <w:pPr>
        <w:pStyle w:val="BodyText2"/>
        <w:numPr>
          <w:ilvl w:val="0"/>
          <w:numId w:val="3"/>
        </w:numPr>
        <w:spacing w:after="0"/>
        <w:ind w:right="-720"/>
        <w:rPr>
          <w:rFonts w:asciiTheme="minorHAnsi" w:hAnsiTheme="minorHAnsi"/>
          <w:bCs/>
          <w:szCs w:val="22"/>
        </w:rPr>
      </w:pPr>
      <w:r w:rsidRPr="00D63786">
        <w:rPr>
          <w:rFonts w:asciiTheme="minorHAnsi" w:hAnsiTheme="minorHAnsi"/>
          <w:b/>
          <w:bCs/>
          <w:szCs w:val="22"/>
        </w:rPr>
        <w:t xml:space="preserve">Classroom and Electronic Etiquette Policy: </w:t>
      </w:r>
      <w:r w:rsidRPr="00D63786">
        <w:rPr>
          <w:rFonts w:asciiTheme="minorHAnsi" w:hAnsiTheme="minorHAnsi"/>
          <w:bCs/>
          <w:szCs w:val="22"/>
        </w:rPr>
        <w:t xml:space="preserve">Students are expected to be on time to class and actively engaged to create a healthy learning environment. </w:t>
      </w:r>
    </w:p>
    <w:p w14:paraId="1EB4F069" w14:textId="77777777" w:rsidR="008C3DA0" w:rsidRDefault="008C3DA0" w:rsidP="008C3DA0">
      <w:pPr>
        <w:pStyle w:val="BodyText2"/>
        <w:numPr>
          <w:ilvl w:val="1"/>
          <w:numId w:val="4"/>
        </w:numPr>
        <w:spacing w:after="0"/>
        <w:rPr>
          <w:rFonts w:asciiTheme="minorHAnsi" w:hAnsiTheme="minorHAnsi"/>
          <w:bCs/>
          <w:szCs w:val="22"/>
        </w:rPr>
      </w:pPr>
      <w:r w:rsidRPr="00144B06">
        <w:rPr>
          <w:rFonts w:asciiTheme="minorHAnsi" w:hAnsiTheme="minorHAnsi"/>
          <w:bCs/>
          <w:szCs w:val="22"/>
        </w:rPr>
        <w:t xml:space="preserve">Tardiness is disruptive and reduces your participation grade. </w:t>
      </w:r>
    </w:p>
    <w:p w14:paraId="1E77ABFC" w14:textId="77777777" w:rsidR="008C3DA0" w:rsidRPr="00144B06" w:rsidRDefault="008C3DA0" w:rsidP="008C3DA0">
      <w:pPr>
        <w:pStyle w:val="BodyText2"/>
        <w:numPr>
          <w:ilvl w:val="1"/>
          <w:numId w:val="4"/>
        </w:numPr>
        <w:spacing w:after="0"/>
        <w:rPr>
          <w:rFonts w:asciiTheme="minorHAnsi" w:hAnsiTheme="minorHAnsi"/>
          <w:bCs/>
          <w:szCs w:val="22"/>
        </w:rPr>
      </w:pPr>
      <w:r w:rsidRPr="00144B06">
        <w:rPr>
          <w:rFonts w:asciiTheme="minorHAnsi" w:hAnsiTheme="minorHAnsi"/>
          <w:bCs/>
          <w:szCs w:val="22"/>
        </w:rPr>
        <w:t xml:space="preserve">Engaging in disrespectful and distracting </w:t>
      </w:r>
      <w:r>
        <w:rPr>
          <w:rFonts w:asciiTheme="minorHAnsi" w:hAnsiTheme="minorHAnsi"/>
          <w:bCs/>
          <w:szCs w:val="22"/>
        </w:rPr>
        <w:t>activities</w:t>
      </w:r>
      <w:r w:rsidRPr="00144B06">
        <w:rPr>
          <w:rFonts w:asciiTheme="minorHAnsi" w:hAnsiTheme="minorHAnsi"/>
          <w:bCs/>
          <w:szCs w:val="22"/>
        </w:rPr>
        <w:t xml:space="preserve"> during class will negatively impact your participation grade.</w:t>
      </w:r>
    </w:p>
    <w:p w14:paraId="700DB318" w14:textId="77777777" w:rsidR="008C3DA0" w:rsidRPr="00144B06" w:rsidRDefault="008C3DA0" w:rsidP="008C3DA0">
      <w:pPr>
        <w:pStyle w:val="BodyText2"/>
        <w:numPr>
          <w:ilvl w:val="1"/>
          <w:numId w:val="4"/>
        </w:numPr>
        <w:spacing w:after="0"/>
        <w:rPr>
          <w:rFonts w:asciiTheme="minorHAnsi" w:hAnsiTheme="minorHAnsi"/>
          <w:bCs/>
          <w:szCs w:val="22"/>
        </w:rPr>
      </w:pPr>
      <w:r w:rsidRPr="00144B06">
        <w:rPr>
          <w:rFonts w:asciiTheme="minorHAnsi" w:hAnsiTheme="minorHAnsi"/>
          <w:bCs/>
          <w:szCs w:val="22"/>
        </w:rPr>
        <w:t>Cell phones are to be turned off. Texting and calls destroy a healthy learning environment.</w:t>
      </w:r>
    </w:p>
    <w:p w14:paraId="589C83AC" w14:textId="77777777" w:rsidR="008C3DA0" w:rsidRDefault="008C3DA0" w:rsidP="008C3DA0">
      <w:pPr>
        <w:pStyle w:val="BodyText2"/>
        <w:numPr>
          <w:ilvl w:val="1"/>
          <w:numId w:val="4"/>
        </w:numPr>
        <w:spacing w:after="0"/>
        <w:rPr>
          <w:rFonts w:asciiTheme="minorHAnsi" w:hAnsiTheme="minorHAnsi"/>
          <w:bCs/>
          <w:szCs w:val="22"/>
        </w:rPr>
      </w:pPr>
      <w:r w:rsidRPr="00144B06">
        <w:rPr>
          <w:rFonts w:asciiTheme="minorHAnsi" w:hAnsiTheme="minorHAnsi"/>
          <w:bCs/>
          <w:szCs w:val="22"/>
        </w:rPr>
        <w:t xml:space="preserve">Laptops can be used for </w:t>
      </w:r>
      <w:proofErr w:type="gramStart"/>
      <w:r w:rsidRPr="00144B06">
        <w:rPr>
          <w:rFonts w:asciiTheme="minorHAnsi" w:hAnsiTheme="minorHAnsi"/>
          <w:bCs/>
          <w:szCs w:val="22"/>
        </w:rPr>
        <w:t>note-taking</w:t>
      </w:r>
      <w:proofErr w:type="gramEnd"/>
      <w:r w:rsidRPr="00144B06">
        <w:rPr>
          <w:rFonts w:asciiTheme="minorHAnsi" w:hAnsiTheme="minorHAnsi"/>
          <w:bCs/>
          <w:szCs w:val="22"/>
        </w:rPr>
        <w:t xml:space="preserve"> but NOT for surfing the web, email, completing assignments, or other distracting activities. </w:t>
      </w:r>
    </w:p>
    <w:p w14:paraId="07744351" w14:textId="77777777" w:rsidR="008C3DA0" w:rsidRPr="00144B06" w:rsidRDefault="008C3DA0" w:rsidP="008C3DA0">
      <w:pPr>
        <w:pStyle w:val="BodyText2"/>
        <w:spacing w:after="0"/>
        <w:ind w:left="1440"/>
        <w:rPr>
          <w:rFonts w:asciiTheme="minorHAnsi" w:hAnsiTheme="minorHAnsi"/>
          <w:bCs/>
          <w:szCs w:val="22"/>
        </w:rPr>
      </w:pPr>
    </w:p>
    <w:p w14:paraId="12472823" w14:textId="77777777" w:rsidR="008C3DA0" w:rsidRPr="00D63786" w:rsidRDefault="008C3DA0" w:rsidP="008C3DA0">
      <w:pPr>
        <w:pStyle w:val="BodyText2"/>
        <w:numPr>
          <w:ilvl w:val="0"/>
          <w:numId w:val="3"/>
        </w:numPr>
        <w:spacing w:after="0"/>
        <w:ind w:right="-720"/>
        <w:rPr>
          <w:rFonts w:ascii="Calibri" w:hAnsi="Calibri" w:cs="Calibri"/>
        </w:rPr>
      </w:pPr>
      <w:r w:rsidRPr="00D63786">
        <w:rPr>
          <w:rFonts w:ascii="Calibri" w:hAnsi="Calibri" w:cs="Calibri"/>
          <w:b/>
        </w:rPr>
        <w:t>Americans with Disabilities Act</w:t>
      </w:r>
      <w:r w:rsidRPr="00D63786">
        <w:rPr>
          <w:rFonts w:ascii="Calibri" w:hAnsi="Calibri" w:cs="Calibri"/>
          <w:b/>
          <w:bCs/>
          <w:szCs w:val="22"/>
        </w:rPr>
        <w:t xml:space="preserve">:  </w:t>
      </w:r>
      <w:r w:rsidRPr="00D63786">
        <w:rPr>
          <w:rFonts w:ascii="Calibri" w:hAnsi="Calibri" w:cs="Calibri"/>
        </w:rPr>
        <w:t xml:space="preserve">If you have a diagnosed disability and need special accommodations, please notify Ms. Katy </w:t>
      </w:r>
      <w:proofErr w:type="spellStart"/>
      <w:r w:rsidRPr="00D63786">
        <w:rPr>
          <w:rFonts w:ascii="Calibri" w:hAnsi="Calibri" w:cs="Calibri"/>
        </w:rPr>
        <w:t>Roybal</w:t>
      </w:r>
      <w:proofErr w:type="spellEnd"/>
      <w:r w:rsidRPr="00D63786">
        <w:rPr>
          <w:rFonts w:ascii="Calibri" w:hAnsi="Calibri" w:cs="Calibri"/>
        </w:rPr>
        <w:t xml:space="preserve"> (</w:t>
      </w:r>
      <w:r>
        <w:rPr>
          <w:rFonts w:ascii="Calibri" w:hAnsi="Calibri" w:cs="Calibri"/>
        </w:rPr>
        <w:t>405-</w:t>
      </w:r>
      <w:r w:rsidRPr="00D63786">
        <w:rPr>
          <w:rFonts w:ascii="Calibri" w:hAnsi="Calibri" w:cs="Calibri"/>
        </w:rPr>
        <w:t xml:space="preserve">425-1876) before or immediately after your first scheduled class meeting. After your disability has been verified, your instructor will work with you, with Ms. </w:t>
      </w:r>
      <w:proofErr w:type="spellStart"/>
      <w:r w:rsidRPr="00D63786">
        <w:rPr>
          <w:rFonts w:ascii="Calibri" w:hAnsi="Calibri" w:cs="Calibri"/>
        </w:rPr>
        <w:t>Roybal</w:t>
      </w:r>
      <w:proofErr w:type="spellEnd"/>
      <w:r w:rsidRPr="00D63786">
        <w:rPr>
          <w:rFonts w:ascii="Calibri" w:hAnsi="Calibri" w:cs="Calibri"/>
        </w:rPr>
        <w:t>, and with the Office of the Vice President of Academic Affairs to provide reasonable accommodations to ensure that you have a fair opportunity to perform in this course.</w:t>
      </w:r>
    </w:p>
    <w:p w14:paraId="4EDB728C" w14:textId="77777777" w:rsidR="008C3DA0" w:rsidRPr="000E0E3E" w:rsidRDefault="008C3DA0" w:rsidP="008C3DA0">
      <w:pPr>
        <w:spacing w:after="0"/>
        <w:rPr>
          <w:rFonts w:eastAsia="Times New Roman" w:cs="Times New Roman"/>
        </w:rPr>
      </w:pPr>
    </w:p>
    <w:p w14:paraId="53C648AA" w14:textId="77777777" w:rsidR="008C3DA0" w:rsidRPr="00103F82" w:rsidRDefault="008C3DA0" w:rsidP="008C3DA0">
      <w:pPr>
        <w:pStyle w:val="BodyText2"/>
        <w:numPr>
          <w:ilvl w:val="0"/>
          <w:numId w:val="3"/>
        </w:numPr>
        <w:spacing w:after="0"/>
        <w:ind w:right="-720"/>
        <w:rPr>
          <w:rFonts w:asciiTheme="minorHAnsi" w:hAnsiTheme="minorHAnsi" w:cstheme="minorHAnsi"/>
          <w:b/>
          <w:bCs/>
          <w:szCs w:val="22"/>
        </w:rPr>
      </w:pPr>
      <w:r w:rsidRPr="00103F82">
        <w:rPr>
          <w:rFonts w:asciiTheme="minorHAnsi" w:hAnsiTheme="minorHAnsi" w:cstheme="minorHAnsi"/>
          <w:b/>
        </w:rPr>
        <w:t>Sexual Misconduct Policy (Title IX)</w:t>
      </w:r>
    </w:p>
    <w:p w14:paraId="78DE797F" w14:textId="77777777" w:rsidR="008C3DA0" w:rsidRPr="000E0E3E" w:rsidRDefault="008C3DA0" w:rsidP="008C3DA0">
      <w:pPr>
        <w:spacing w:after="0"/>
        <w:rPr>
          <w:rFonts w:eastAsia="Times New Roman" w:cs="Arial"/>
        </w:rPr>
      </w:pPr>
      <w:r w:rsidRPr="000E0E3E">
        <w:rPr>
          <w:rFonts w:eastAsia="Times New Roman" w:cs="Arial"/>
        </w:rPr>
        <w:t xml:space="preserve">Oklahoma Christian University is a Christian community unequivocally committed to ensuring a working and learning environment in which the dignity of every individual is respected and providing a campus environment that is free of unlawful discrimination, which includes sexual harassment, sexual assault, or sexual misconduct. OC’s Sexual Misconduct Policy (see the OC Student Handbook) is compliant with Title IX, which states, “No person in the United States shall, on the basis of sex, be excluded from participation in, be denied the benefits of, or be subjected to discrimination under any education program or activity receiving Federal financial assistance.” Sexual harassment is a breach of community, which expresses disrespect, </w:t>
      </w:r>
      <w:proofErr w:type="gramStart"/>
      <w:r w:rsidRPr="000E0E3E">
        <w:rPr>
          <w:rFonts w:eastAsia="Times New Roman" w:cs="Arial"/>
        </w:rPr>
        <w:t>exploits</w:t>
      </w:r>
      <w:proofErr w:type="gramEnd"/>
      <w:r w:rsidRPr="000E0E3E">
        <w:rPr>
          <w:rFonts w:eastAsia="Times New Roman" w:cs="Arial"/>
        </w:rPr>
        <w:t xml:space="preserve"> and undermines relationships based on trust, and interferes with learning and productive work.</w:t>
      </w:r>
    </w:p>
    <w:p w14:paraId="09E7F1E1" w14:textId="77777777" w:rsidR="008C3DA0" w:rsidRPr="000E0E3E" w:rsidRDefault="008C3DA0" w:rsidP="008C3DA0">
      <w:pPr>
        <w:spacing w:after="0"/>
        <w:rPr>
          <w:rFonts w:eastAsia="Times New Roman" w:cs="Arial"/>
        </w:rPr>
      </w:pPr>
    </w:p>
    <w:p w14:paraId="2236F837" w14:textId="77777777" w:rsidR="008C3DA0" w:rsidRPr="000E0E3E" w:rsidRDefault="008C3DA0" w:rsidP="008C3DA0">
      <w:pPr>
        <w:spacing w:after="0"/>
        <w:rPr>
          <w:rFonts w:eastAsia="Times New Roman" w:cs="Arial"/>
        </w:rPr>
      </w:pPr>
      <w:r w:rsidRPr="000E0E3E">
        <w:rPr>
          <w:rFonts w:eastAsia="Times New Roman" w:cs="Arial"/>
        </w:rPr>
        <w:t>Students are encouraged to immediately seek available assistance and report incidents of sexual misconduct as defined by the Sexual Misconduct Policy to the Title IX Coordinator:</w:t>
      </w: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175"/>
        <w:gridCol w:w="2250"/>
        <w:gridCol w:w="1530"/>
        <w:gridCol w:w="2610"/>
      </w:tblGrid>
      <w:tr w:rsidR="008C3DA0" w:rsidRPr="000E0E3E" w14:paraId="14EA23ED" w14:textId="77777777" w:rsidTr="00122B59">
        <w:trPr>
          <w:tblHeader/>
        </w:trPr>
        <w:tc>
          <w:tcPr>
            <w:tcW w:w="3175" w:type="dxa"/>
          </w:tcPr>
          <w:p w14:paraId="31DD27A7" w14:textId="77777777" w:rsidR="008C3DA0" w:rsidRPr="000E0E3E" w:rsidRDefault="008C3DA0" w:rsidP="00122B59">
            <w:pPr>
              <w:rPr>
                <w:rFonts w:eastAsia="Times New Roman" w:cs="Times New Roman"/>
                <w:b/>
              </w:rPr>
            </w:pPr>
            <w:r w:rsidRPr="000E0E3E">
              <w:rPr>
                <w:rFonts w:eastAsia="Times New Roman" w:cs="Times New Roman"/>
                <w:b/>
              </w:rPr>
              <w:t>Title IX Coordinator</w:t>
            </w:r>
          </w:p>
        </w:tc>
        <w:tc>
          <w:tcPr>
            <w:tcW w:w="2250" w:type="dxa"/>
          </w:tcPr>
          <w:p w14:paraId="0C470B10" w14:textId="77777777" w:rsidR="008C3DA0" w:rsidRPr="000E0E3E" w:rsidRDefault="008C3DA0" w:rsidP="00122B59">
            <w:pPr>
              <w:rPr>
                <w:rFonts w:eastAsia="Times New Roman" w:cs="Times New Roman"/>
              </w:rPr>
            </w:pPr>
            <w:r w:rsidRPr="000E0E3E">
              <w:rPr>
                <w:rFonts w:eastAsia="Times New Roman" w:cs="Times New Roman"/>
              </w:rPr>
              <w:t>Mrs. Lisa Herndon</w:t>
            </w:r>
          </w:p>
        </w:tc>
        <w:tc>
          <w:tcPr>
            <w:tcW w:w="1530" w:type="dxa"/>
          </w:tcPr>
          <w:p w14:paraId="1C800CAD" w14:textId="77777777" w:rsidR="008C3DA0" w:rsidRPr="000E0E3E" w:rsidRDefault="008C3DA0" w:rsidP="00122B59">
            <w:pPr>
              <w:rPr>
                <w:rFonts w:eastAsia="Times New Roman" w:cs="Times New Roman"/>
              </w:rPr>
            </w:pPr>
            <w:r w:rsidRPr="000E0E3E">
              <w:rPr>
                <w:rFonts w:eastAsia="Times New Roman" w:cs="Times New Roman"/>
              </w:rPr>
              <w:t>405</w:t>
            </w:r>
            <w:r>
              <w:rPr>
                <w:rFonts w:eastAsia="Times New Roman" w:cs="Times New Roman"/>
              </w:rPr>
              <w:t>-</w:t>
            </w:r>
            <w:r w:rsidRPr="000E0E3E">
              <w:rPr>
                <w:rFonts w:eastAsia="Times New Roman" w:cs="Times New Roman"/>
              </w:rPr>
              <w:t>425</w:t>
            </w:r>
            <w:r>
              <w:rPr>
                <w:rFonts w:eastAsia="Times New Roman" w:cs="Times New Roman"/>
              </w:rPr>
              <w:t>-</w:t>
            </w:r>
            <w:r w:rsidRPr="000E0E3E">
              <w:rPr>
                <w:rFonts w:eastAsia="Times New Roman" w:cs="Times New Roman"/>
              </w:rPr>
              <w:t>1820</w:t>
            </w:r>
          </w:p>
        </w:tc>
        <w:tc>
          <w:tcPr>
            <w:tcW w:w="2610" w:type="dxa"/>
          </w:tcPr>
          <w:p w14:paraId="77731499" w14:textId="77777777" w:rsidR="008C3DA0" w:rsidRPr="000E0E3E" w:rsidRDefault="008C3DA0" w:rsidP="00122B59">
            <w:pPr>
              <w:rPr>
                <w:rFonts w:eastAsia="Times New Roman" w:cs="Times New Roman"/>
              </w:rPr>
            </w:pPr>
            <w:r w:rsidRPr="000E0E3E">
              <w:rPr>
                <w:rFonts w:eastAsia="Times New Roman" w:cs="Times New Roman"/>
              </w:rPr>
              <w:t>lisa.herndon@oc.edu</w:t>
            </w:r>
          </w:p>
        </w:tc>
      </w:tr>
    </w:tbl>
    <w:p w14:paraId="7570F5C3" w14:textId="77777777" w:rsidR="008C3DA0" w:rsidRPr="00103F82" w:rsidRDefault="008C3DA0" w:rsidP="008C3DA0">
      <w:pPr>
        <w:pStyle w:val="ListParagraph"/>
        <w:numPr>
          <w:ilvl w:val="0"/>
          <w:numId w:val="3"/>
        </w:numPr>
        <w:spacing w:after="0"/>
        <w:textAlignment w:val="baseline"/>
        <w:rPr>
          <w:rFonts w:eastAsia="Times New Roman" w:cs="Arial"/>
          <w:b/>
        </w:rPr>
      </w:pPr>
      <w:r w:rsidRPr="00103F82">
        <w:rPr>
          <w:rFonts w:eastAsia="Times New Roman" w:cs="Arial"/>
          <w:b/>
        </w:rPr>
        <w:t>Oklahoma Christian University Policy on Academic Honesty</w:t>
      </w:r>
    </w:p>
    <w:p w14:paraId="099142AA" w14:textId="77777777" w:rsidR="008C3DA0" w:rsidRPr="00103F82" w:rsidRDefault="008C3DA0" w:rsidP="008C3DA0">
      <w:pPr>
        <w:pStyle w:val="NoSpacing"/>
        <w:ind w:left="90"/>
        <w:rPr>
          <w:b/>
        </w:rPr>
      </w:pPr>
      <w:r w:rsidRPr="00103F82">
        <w:rPr>
          <w:b/>
        </w:rPr>
        <w:t>Cheating</w:t>
      </w:r>
    </w:p>
    <w:p w14:paraId="24B71AF3" w14:textId="77777777" w:rsidR="008C3DA0" w:rsidRPr="00103F82" w:rsidRDefault="008C3DA0" w:rsidP="008C3DA0">
      <w:pPr>
        <w:ind w:left="90"/>
      </w:pPr>
      <w:r w:rsidRPr="00103F82">
        <w:t>Cheating on an examination, assignment, roll sheet or other course related work or activities undermines the ethics of the academy and the specific Christian purposes of Oklahoma Christian University. Accordingly, students who cheat on examinations, assignments or other course related work or activities will face serious consequences, as outlined in this policy.</w:t>
      </w:r>
    </w:p>
    <w:p w14:paraId="1F918FAE" w14:textId="77777777" w:rsidR="008C3DA0" w:rsidRPr="00103F82" w:rsidRDefault="008C3DA0" w:rsidP="008C3DA0">
      <w:pPr>
        <w:pStyle w:val="NoSpacing"/>
        <w:ind w:left="90"/>
        <w:rPr>
          <w:b/>
        </w:rPr>
      </w:pPr>
      <w:r w:rsidRPr="00103F82">
        <w:rPr>
          <w:b/>
        </w:rPr>
        <w:t>Plagiarism</w:t>
      </w:r>
    </w:p>
    <w:p w14:paraId="2E41D0EA" w14:textId="77777777" w:rsidR="008C3DA0" w:rsidRPr="00103F82" w:rsidRDefault="008C3DA0" w:rsidP="008C3DA0">
      <w:pPr>
        <w:ind w:left="90"/>
      </w:pPr>
      <w:r w:rsidRPr="00103F82">
        <w:t xml:space="preserve">One </w:t>
      </w:r>
      <w:proofErr w:type="gramStart"/>
      <w:r w:rsidRPr="00103F82">
        <w:t>particular form</w:t>
      </w:r>
      <w:proofErr w:type="gramEnd"/>
      <w:r w:rsidRPr="00103F82">
        <w:t xml:space="preserve"> of cheating is plagiarism. Plagiarism is the transmission of another’s ideas, words, or materials as one’s own and/or the failure to credit accurately the ideas, words, or materials of another. Plagiarism also includes passing off another’s work (a friend, a parent, a website) as one’s own. Plagiarism undermines the ethics of the academy and the specific Christian purposes of Oklahoma Christian University. Accordingly, students who engage in plagiarism in assignments submitted will face serious consequences, as outlined in this policy.</w:t>
      </w:r>
    </w:p>
    <w:p w14:paraId="2DF87E85" w14:textId="77777777" w:rsidR="008C3DA0" w:rsidRPr="00103F82" w:rsidRDefault="008C3DA0" w:rsidP="008C3DA0">
      <w:pPr>
        <w:pStyle w:val="NoSpacing"/>
        <w:ind w:left="90"/>
        <w:rPr>
          <w:b/>
        </w:rPr>
      </w:pPr>
      <w:r w:rsidRPr="00103F82">
        <w:rPr>
          <w:b/>
        </w:rPr>
        <w:t>Penalties for Academic Dishonesty</w:t>
      </w:r>
    </w:p>
    <w:p w14:paraId="311A822B" w14:textId="77777777" w:rsidR="008C3DA0" w:rsidRPr="00103F82" w:rsidRDefault="008C3DA0" w:rsidP="008C3DA0">
      <w:pPr>
        <w:pStyle w:val="ListParagraph"/>
        <w:numPr>
          <w:ilvl w:val="0"/>
          <w:numId w:val="2"/>
        </w:numPr>
        <w:spacing w:after="0" w:line="240" w:lineRule="auto"/>
        <w:ind w:left="630"/>
      </w:pPr>
      <w:r w:rsidRPr="00103F82">
        <w:t>On the first offense, the student will receive zero (0) credit for the examination or assignment. For forms of cheating or dishonesty other than on examinations or assignments, the Professor shall have the discretion to impose an appropriate penalty. Professors must send documentation of the first offense to the appropriate chair, the dean of the appropriate college, the Chief Academic Officer, and the Dean of Students.</w:t>
      </w:r>
    </w:p>
    <w:p w14:paraId="61007AE5" w14:textId="77777777" w:rsidR="008C3DA0" w:rsidRPr="00103F82" w:rsidRDefault="008C3DA0" w:rsidP="008C3DA0">
      <w:pPr>
        <w:pStyle w:val="ListParagraph"/>
        <w:numPr>
          <w:ilvl w:val="0"/>
          <w:numId w:val="2"/>
        </w:numPr>
        <w:spacing w:after="0" w:line="240" w:lineRule="auto"/>
        <w:ind w:left="630"/>
      </w:pPr>
      <w:r w:rsidRPr="00103F82">
        <w:t>On the second offense in the same course, the student will receive an F in the course. Professors must send documentation of the second offense to the appropriate chair, the dean of the appropriate college, the Chief Academic Officer, and the Dean of Students.</w:t>
      </w:r>
    </w:p>
    <w:p w14:paraId="6A7783C6" w14:textId="77777777" w:rsidR="008C3DA0" w:rsidRPr="00103F82" w:rsidRDefault="008C3DA0" w:rsidP="008C3DA0">
      <w:pPr>
        <w:pStyle w:val="ListParagraph"/>
        <w:numPr>
          <w:ilvl w:val="0"/>
          <w:numId w:val="2"/>
        </w:numPr>
        <w:spacing w:after="0" w:line="240" w:lineRule="auto"/>
        <w:ind w:left="630"/>
      </w:pPr>
      <w:r w:rsidRPr="00103F82">
        <w:lastRenderedPageBreak/>
        <w:t xml:space="preserve">At either the first offense or second offense, the student may appeal using the process described in both the </w:t>
      </w:r>
      <w:r w:rsidRPr="00103F82">
        <w:rPr>
          <w:i/>
        </w:rPr>
        <w:t>OC Student Handbook</w:t>
      </w:r>
      <w:r w:rsidRPr="00103F82">
        <w:t xml:space="preserve"> and the </w:t>
      </w:r>
      <w:r w:rsidRPr="00103F82">
        <w:rPr>
          <w:i/>
        </w:rPr>
        <w:t xml:space="preserve">OC Academic Policy Manual </w:t>
      </w:r>
      <w:r w:rsidRPr="00103F82">
        <w:t>covering Grade Appeals.</w:t>
      </w:r>
    </w:p>
    <w:p w14:paraId="060721F1" w14:textId="77777777" w:rsidR="008C3DA0" w:rsidRPr="00103F82" w:rsidRDefault="008C3DA0" w:rsidP="008C3DA0">
      <w:pPr>
        <w:pStyle w:val="ListParagraph"/>
        <w:numPr>
          <w:ilvl w:val="0"/>
          <w:numId w:val="2"/>
        </w:numPr>
        <w:spacing w:after="0" w:line="240" w:lineRule="auto"/>
        <w:ind w:left="630"/>
      </w:pPr>
      <w:r w:rsidRPr="00103F82">
        <w:t xml:space="preserve">If the student commits offenses in two or more courses, the Academic Appeals Committee, described in the </w:t>
      </w:r>
      <w:r w:rsidRPr="00103F82">
        <w:rPr>
          <w:i/>
        </w:rPr>
        <w:t>OC Student Handbook</w:t>
      </w:r>
      <w:r w:rsidRPr="00103F82">
        <w:t xml:space="preserve"> and in the </w:t>
      </w:r>
      <w:r w:rsidRPr="00103F82">
        <w:rPr>
          <w:i/>
        </w:rPr>
        <w:t>OC Academic Policy Manual</w:t>
      </w:r>
      <w:r w:rsidRPr="00103F82">
        <w:t>, may assign penalties for academic dishonesty in addition to the penalties assigned by the professors in the courses. The Academic Appeals Committee may impose penalties up to and including suspension from the University in instances where a student has engaged in cheating or plagiarism in two or more courses. The Academic Appeals Committee will inform the Chief Academic Officer and the Dean of Students in writing of any penalties imposed by it and will report annually on its activities to the University’s Academic Affairs Committee.</w:t>
      </w:r>
    </w:p>
    <w:p w14:paraId="5AADDA50" w14:textId="77777777" w:rsidR="008C3DA0" w:rsidRDefault="008C3DA0" w:rsidP="008C3DA0">
      <w:pPr>
        <w:pStyle w:val="ListParagraph"/>
        <w:numPr>
          <w:ilvl w:val="0"/>
          <w:numId w:val="2"/>
        </w:numPr>
        <w:spacing w:after="0" w:line="240" w:lineRule="auto"/>
        <w:ind w:left="630"/>
      </w:pPr>
      <w:r w:rsidRPr="00103F82">
        <w:t>Professors should maintain the highest standards of academic honesty both in and out of the classroom. Professors must report and apply the rules regarding cheating/plagiarism to the appropriate channels. The student should be referred to the Oklahoma Christian University Covenant for principles which should guide conduct in these matters.</w:t>
      </w:r>
    </w:p>
    <w:p w14:paraId="5A9D1F01" w14:textId="77777777" w:rsidR="008C3DA0" w:rsidRPr="00103F82" w:rsidRDefault="008C3DA0" w:rsidP="008C3DA0">
      <w:pPr>
        <w:pStyle w:val="ListParagraph"/>
        <w:spacing w:after="0" w:line="240" w:lineRule="auto"/>
        <w:ind w:left="630"/>
      </w:pPr>
    </w:p>
    <w:p w14:paraId="58BB5170" w14:textId="77777777" w:rsidR="008C3DA0" w:rsidRPr="00103F82" w:rsidRDefault="008C3DA0" w:rsidP="008C3DA0">
      <w:pPr>
        <w:pStyle w:val="ListParagraph"/>
        <w:numPr>
          <w:ilvl w:val="0"/>
          <w:numId w:val="1"/>
        </w:numPr>
        <w:spacing w:after="0"/>
        <w:rPr>
          <w:rFonts w:eastAsia="Times New Roman" w:cs="Times New Roman"/>
          <w:b/>
        </w:rPr>
      </w:pPr>
      <w:r w:rsidRPr="00D062A2">
        <w:rPr>
          <w:rFonts w:eastAsia="Times New Roman" w:cs="Arial"/>
          <w:b/>
          <w:bCs/>
          <w:color w:val="000000"/>
        </w:rPr>
        <w:t xml:space="preserve">Course </w:t>
      </w:r>
      <w:r>
        <w:rPr>
          <w:rFonts w:eastAsia="Times New Roman" w:cs="Arial"/>
          <w:b/>
          <w:bCs/>
          <w:color w:val="000000"/>
        </w:rPr>
        <w:t xml:space="preserve">Outline </w:t>
      </w:r>
    </w:p>
    <w:p w14:paraId="25301AFE" w14:textId="77777777" w:rsidR="008C3DA0" w:rsidRPr="00103F82" w:rsidRDefault="008C3DA0" w:rsidP="008C3DA0">
      <w:pPr>
        <w:pStyle w:val="ListParagraph"/>
        <w:spacing w:after="0"/>
        <w:ind w:left="360"/>
        <w:rPr>
          <w:rFonts w:eastAsia="Times New Roman" w:cs="Times New Roman"/>
          <w:b/>
        </w:rPr>
      </w:pPr>
    </w:p>
    <w:tbl>
      <w:tblPr>
        <w:tblStyle w:val="TableGrid"/>
        <w:tblW w:w="9451" w:type="dxa"/>
        <w:tblLook w:val="04A0" w:firstRow="1" w:lastRow="0" w:firstColumn="1" w:lastColumn="0" w:noHBand="0" w:noVBand="1"/>
      </w:tblPr>
      <w:tblGrid>
        <w:gridCol w:w="895"/>
        <w:gridCol w:w="3240"/>
        <w:gridCol w:w="1440"/>
        <w:gridCol w:w="1985"/>
        <w:gridCol w:w="1891"/>
      </w:tblGrid>
      <w:tr w:rsidR="009608DC" w:rsidRPr="00A4318D" w14:paraId="0EAC1410" w14:textId="77777777" w:rsidTr="000B07F3">
        <w:trPr>
          <w:trHeight w:val="537"/>
        </w:trPr>
        <w:tc>
          <w:tcPr>
            <w:tcW w:w="895" w:type="dxa"/>
          </w:tcPr>
          <w:p w14:paraId="41884BEE" w14:textId="77777777" w:rsidR="008C3DA0" w:rsidRPr="00BA3F80" w:rsidRDefault="008C3DA0" w:rsidP="00122B59">
            <w:pPr>
              <w:pStyle w:val="NoSpacing"/>
              <w:rPr>
                <w:b/>
                <w:bCs/>
                <w:color w:val="000000" w:themeColor="text1"/>
                <w:sz w:val="20"/>
                <w:szCs w:val="20"/>
              </w:rPr>
            </w:pPr>
            <w:r w:rsidRPr="00BA3F80">
              <w:rPr>
                <w:b/>
                <w:bCs/>
                <w:color w:val="000000" w:themeColor="text1"/>
                <w:sz w:val="20"/>
                <w:szCs w:val="20"/>
              </w:rPr>
              <w:t>Date</w:t>
            </w:r>
          </w:p>
        </w:tc>
        <w:tc>
          <w:tcPr>
            <w:tcW w:w="3240" w:type="dxa"/>
          </w:tcPr>
          <w:p w14:paraId="24D5B225" w14:textId="41BEC67A" w:rsidR="008C3DA0" w:rsidRPr="00BA3F80" w:rsidRDefault="00C50793" w:rsidP="00122B59">
            <w:pPr>
              <w:pStyle w:val="NoSpacing"/>
              <w:rPr>
                <w:b/>
                <w:bCs/>
                <w:color w:val="000000" w:themeColor="text1"/>
                <w:sz w:val="20"/>
                <w:szCs w:val="20"/>
              </w:rPr>
            </w:pPr>
            <w:r>
              <w:rPr>
                <w:b/>
                <w:bCs/>
                <w:color w:val="000000" w:themeColor="text1"/>
                <w:sz w:val="20"/>
                <w:szCs w:val="20"/>
              </w:rPr>
              <w:t xml:space="preserve">Lecture/Discussion </w:t>
            </w:r>
            <w:r w:rsidR="008C3DA0" w:rsidRPr="00BA3F80">
              <w:rPr>
                <w:b/>
                <w:bCs/>
                <w:color w:val="000000" w:themeColor="text1"/>
                <w:sz w:val="20"/>
                <w:szCs w:val="20"/>
              </w:rPr>
              <w:t>Topic</w:t>
            </w:r>
          </w:p>
        </w:tc>
        <w:tc>
          <w:tcPr>
            <w:tcW w:w="1440" w:type="dxa"/>
          </w:tcPr>
          <w:p w14:paraId="351FF043" w14:textId="7F42EA8D" w:rsidR="008C3DA0" w:rsidRPr="00BA3F80" w:rsidRDefault="00C50793" w:rsidP="00122B59">
            <w:pPr>
              <w:pStyle w:val="NoSpacing"/>
              <w:rPr>
                <w:b/>
                <w:bCs/>
                <w:color w:val="000000" w:themeColor="text1"/>
                <w:sz w:val="20"/>
                <w:szCs w:val="20"/>
              </w:rPr>
            </w:pPr>
            <w:r>
              <w:rPr>
                <w:b/>
                <w:bCs/>
                <w:color w:val="000000" w:themeColor="text1"/>
                <w:sz w:val="20"/>
                <w:szCs w:val="20"/>
              </w:rPr>
              <w:t>Acts Readings</w:t>
            </w:r>
          </w:p>
        </w:tc>
        <w:tc>
          <w:tcPr>
            <w:tcW w:w="1985" w:type="dxa"/>
          </w:tcPr>
          <w:p w14:paraId="2551045F" w14:textId="77777777" w:rsidR="008C3DA0" w:rsidRPr="00BA3F80" w:rsidRDefault="008C3DA0" w:rsidP="00122B59">
            <w:pPr>
              <w:pStyle w:val="NoSpacing"/>
              <w:rPr>
                <w:b/>
                <w:bCs/>
                <w:color w:val="000000" w:themeColor="text1"/>
                <w:sz w:val="20"/>
                <w:szCs w:val="20"/>
              </w:rPr>
            </w:pPr>
            <w:r w:rsidRPr="00BA3F80">
              <w:rPr>
                <w:b/>
                <w:bCs/>
                <w:color w:val="000000" w:themeColor="text1"/>
                <w:sz w:val="20"/>
                <w:szCs w:val="20"/>
              </w:rPr>
              <w:t>Secondary Reading</w:t>
            </w:r>
          </w:p>
        </w:tc>
        <w:tc>
          <w:tcPr>
            <w:tcW w:w="1891" w:type="dxa"/>
          </w:tcPr>
          <w:p w14:paraId="302175AC" w14:textId="77777777" w:rsidR="008C3DA0" w:rsidRPr="00BA3F80" w:rsidRDefault="008C3DA0" w:rsidP="00122B59">
            <w:pPr>
              <w:pStyle w:val="NoSpacing"/>
              <w:rPr>
                <w:b/>
                <w:bCs/>
                <w:color w:val="000000" w:themeColor="text1"/>
                <w:sz w:val="20"/>
                <w:szCs w:val="20"/>
              </w:rPr>
            </w:pPr>
            <w:r w:rsidRPr="00BA3F80">
              <w:rPr>
                <w:b/>
                <w:bCs/>
                <w:color w:val="000000" w:themeColor="text1"/>
                <w:sz w:val="20"/>
                <w:szCs w:val="20"/>
              </w:rPr>
              <w:t>Notes &amp; Due Dates</w:t>
            </w:r>
          </w:p>
        </w:tc>
      </w:tr>
      <w:tr w:rsidR="009608DC" w:rsidRPr="00A4318D" w14:paraId="3B00F6D3" w14:textId="77777777" w:rsidTr="000B07F3">
        <w:trPr>
          <w:trHeight w:val="276"/>
        </w:trPr>
        <w:tc>
          <w:tcPr>
            <w:tcW w:w="895" w:type="dxa"/>
          </w:tcPr>
          <w:p w14:paraId="7A8A75B6" w14:textId="6144B6BE" w:rsidR="008C3DA0" w:rsidRPr="00BA3F80" w:rsidRDefault="00361DFE" w:rsidP="00122B59">
            <w:pPr>
              <w:pStyle w:val="NoSpacing"/>
              <w:rPr>
                <w:color w:val="000000" w:themeColor="text1"/>
                <w:sz w:val="20"/>
                <w:szCs w:val="20"/>
              </w:rPr>
            </w:pPr>
            <w:r>
              <w:rPr>
                <w:color w:val="000000" w:themeColor="text1"/>
                <w:sz w:val="20"/>
                <w:szCs w:val="20"/>
              </w:rPr>
              <w:t>Jan 20</w:t>
            </w:r>
          </w:p>
        </w:tc>
        <w:tc>
          <w:tcPr>
            <w:tcW w:w="3240" w:type="dxa"/>
          </w:tcPr>
          <w:p w14:paraId="2D384655" w14:textId="3B8ED96E" w:rsidR="008C3DA0" w:rsidRPr="00BA3F80" w:rsidRDefault="00C50793" w:rsidP="00122B59">
            <w:pPr>
              <w:pStyle w:val="NoSpacing"/>
              <w:rPr>
                <w:color w:val="000000" w:themeColor="text1"/>
                <w:sz w:val="20"/>
                <w:szCs w:val="20"/>
              </w:rPr>
            </w:pPr>
            <w:r>
              <w:rPr>
                <w:color w:val="000000" w:themeColor="text1"/>
                <w:sz w:val="20"/>
                <w:szCs w:val="20"/>
              </w:rPr>
              <w:t xml:space="preserve">Introduction to Acts; Pentecost, The Holy Spirit, and </w:t>
            </w:r>
            <w:r w:rsidR="00DB061E">
              <w:rPr>
                <w:color w:val="000000" w:themeColor="text1"/>
                <w:sz w:val="20"/>
                <w:szCs w:val="20"/>
              </w:rPr>
              <w:t>the</w:t>
            </w:r>
            <w:r>
              <w:rPr>
                <w:color w:val="000000" w:themeColor="text1"/>
                <w:sz w:val="20"/>
                <w:szCs w:val="20"/>
              </w:rPr>
              <w:t xml:space="preserve"> Disciples</w:t>
            </w:r>
          </w:p>
        </w:tc>
        <w:tc>
          <w:tcPr>
            <w:tcW w:w="1440" w:type="dxa"/>
          </w:tcPr>
          <w:p w14:paraId="62EF0025" w14:textId="029F2088" w:rsidR="008C3DA0" w:rsidRPr="00BA3F80" w:rsidRDefault="00CE5C4B" w:rsidP="00122B59">
            <w:pPr>
              <w:pStyle w:val="NoSpacing"/>
              <w:rPr>
                <w:color w:val="000000" w:themeColor="text1"/>
                <w:sz w:val="20"/>
                <w:szCs w:val="20"/>
              </w:rPr>
            </w:pPr>
            <w:r>
              <w:rPr>
                <w:color w:val="000000" w:themeColor="text1"/>
                <w:sz w:val="20"/>
                <w:szCs w:val="20"/>
              </w:rPr>
              <w:t>Acts 1-3</w:t>
            </w:r>
          </w:p>
        </w:tc>
        <w:tc>
          <w:tcPr>
            <w:tcW w:w="1985" w:type="dxa"/>
          </w:tcPr>
          <w:p w14:paraId="05E58069" w14:textId="75C77A5E" w:rsidR="008C3DA0" w:rsidRPr="00BA3F80" w:rsidRDefault="00EC4640" w:rsidP="00122B59">
            <w:pPr>
              <w:pStyle w:val="NoSpacing"/>
              <w:rPr>
                <w:color w:val="000000" w:themeColor="text1"/>
                <w:sz w:val="20"/>
                <w:szCs w:val="20"/>
              </w:rPr>
            </w:pPr>
            <w:r>
              <w:rPr>
                <w:color w:val="000000" w:themeColor="text1"/>
                <w:sz w:val="20"/>
                <w:szCs w:val="20"/>
              </w:rPr>
              <w:t>Coleman, Introduction</w:t>
            </w:r>
          </w:p>
        </w:tc>
        <w:tc>
          <w:tcPr>
            <w:tcW w:w="1891" w:type="dxa"/>
          </w:tcPr>
          <w:p w14:paraId="507BDE03" w14:textId="4B15DB3F" w:rsidR="008C3DA0" w:rsidRPr="00BA3F80" w:rsidRDefault="00C50793" w:rsidP="00122B59">
            <w:pPr>
              <w:pStyle w:val="NoSpacing"/>
              <w:rPr>
                <w:color w:val="000000" w:themeColor="text1"/>
                <w:sz w:val="20"/>
                <w:szCs w:val="20"/>
              </w:rPr>
            </w:pPr>
            <w:r>
              <w:rPr>
                <w:color w:val="000000" w:themeColor="text1"/>
                <w:sz w:val="20"/>
                <w:szCs w:val="20"/>
              </w:rPr>
              <w:t>Quiz 1</w:t>
            </w:r>
          </w:p>
        </w:tc>
      </w:tr>
      <w:tr w:rsidR="00C50793" w:rsidRPr="00A4318D" w14:paraId="502AAD01" w14:textId="77777777" w:rsidTr="000B07F3">
        <w:trPr>
          <w:trHeight w:val="276"/>
        </w:trPr>
        <w:tc>
          <w:tcPr>
            <w:tcW w:w="895" w:type="dxa"/>
          </w:tcPr>
          <w:p w14:paraId="2F09DF69" w14:textId="3FBCE61D" w:rsidR="00C50793" w:rsidRPr="00BA3F80" w:rsidRDefault="00C50793" w:rsidP="00C50793">
            <w:pPr>
              <w:pStyle w:val="NoSpacing"/>
              <w:rPr>
                <w:color w:val="000000" w:themeColor="text1"/>
                <w:sz w:val="20"/>
                <w:szCs w:val="20"/>
              </w:rPr>
            </w:pPr>
            <w:r>
              <w:rPr>
                <w:color w:val="000000" w:themeColor="text1"/>
                <w:sz w:val="20"/>
                <w:szCs w:val="20"/>
              </w:rPr>
              <w:t>Jan 27</w:t>
            </w:r>
          </w:p>
        </w:tc>
        <w:tc>
          <w:tcPr>
            <w:tcW w:w="3240" w:type="dxa"/>
          </w:tcPr>
          <w:p w14:paraId="28CC820F" w14:textId="15A93E22" w:rsidR="00C50793" w:rsidRPr="00BA3F80" w:rsidRDefault="00DB061E" w:rsidP="00C50793">
            <w:pPr>
              <w:pStyle w:val="NoSpacing"/>
              <w:rPr>
                <w:color w:val="000000" w:themeColor="text1"/>
                <w:sz w:val="20"/>
                <w:szCs w:val="20"/>
              </w:rPr>
            </w:pPr>
            <w:r>
              <w:rPr>
                <w:color w:val="000000" w:themeColor="text1"/>
                <w:sz w:val="20"/>
                <w:szCs w:val="20"/>
              </w:rPr>
              <w:t>Christian Life Together; Christians and Government</w:t>
            </w:r>
          </w:p>
        </w:tc>
        <w:tc>
          <w:tcPr>
            <w:tcW w:w="1440" w:type="dxa"/>
          </w:tcPr>
          <w:p w14:paraId="48A634CB" w14:textId="4DF2896A" w:rsidR="00C50793" w:rsidRPr="00BA3F80" w:rsidRDefault="00C50793" w:rsidP="00C50793">
            <w:pPr>
              <w:pStyle w:val="NoSpacing"/>
              <w:rPr>
                <w:color w:val="000000" w:themeColor="text1"/>
                <w:sz w:val="20"/>
                <w:szCs w:val="20"/>
              </w:rPr>
            </w:pPr>
            <w:r>
              <w:rPr>
                <w:color w:val="000000" w:themeColor="text1"/>
                <w:sz w:val="20"/>
                <w:szCs w:val="20"/>
              </w:rPr>
              <w:t>Acts 4-6</w:t>
            </w:r>
          </w:p>
        </w:tc>
        <w:tc>
          <w:tcPr>
            <w:tcW w:w="1985" w:type="dxa"/>
          </w:tcPr>
          <w:p w14:paraId="2B442431" w14:textId="2BCD9CAB" w:rsidR="00C50793" w:rsidRPr="00BA3F80" w:rsidRDefault="00C50793" w:rsidP="00C50793">
            <w:pPr>
              <w:pStyle w:val="NoSpacing"/>
              <w:rPr>
                <w:color w:val="000000" w:themeColor="text1"/>
                <w:sz w:val="20"/>
                <w:szCs w:val="20"/>
              </w:rPr>
            </w:pPr>
            <w:r w:rsidRPr="00A304AC">
              <w:rPr>
                <w:color w:val="000000" w:themeColor="text1"/>
                <w:sz w:val="20"/>
                <w:szCs w:val="20"/>
              </w:rPr>
              <w:t xml:space="preserve">Coleman, </w:t>
            </w:r>
            <w:proofErr w:type="spellStart"/>
            <w:r>
              <w:rPr>
                <w:color w:val="000000" w:themeColor="text1"/>
                <w:sz w:val="20"/>
                <w:szCs w:val="20"/>
              </w:rPr>
              <w:t>Chpt</w:t>
            </w:r>
            <w:proofErr w:type="spellEnd"/>
            <w:r>
              <w:rPr>
                <w:color w:val="000000" w:themeColor="text1"/>
                <w:sz w:val="20"/>
                <w:szCs w:val="20"/>
              </w:rPr>
              <w:t xml:space="preserve"> 1</w:t>
            </w:r>
          </w:p>
        </w:tc>
        <w:tc>
          <w:tcPr>
            <w:tcW w:w="1891" w:type="dxa"/>
          </w:tcPr>
          <w:p w14:paraId="12292986" w14:textId="0B492B9B" w:rsidR="00C50793" w:rsidRPr="00BA3F80" w:rsidRDefault="00C50793" w:rsidP="00C50793">
            <w:pPr>
              <w:pStyle w:val="NoSpacing"/>
              <w:rPr>
                <w:color w:val="000000" w:themeColor="text1"/>
                <w:sz w:val="20"/>
                <w:szCs w:val="20"/>
              </w:rPr>
            </w:pPr>
            <w:r w:rsidRPr="00EB732E">
              <w:rPr>
                <w:color w:val="000000" w:themeColor="text1"/>
                <w:sz w:val="20"/>
                <w:szCs w:val="20"/>
              </w:rPr>
              <w:t xml:space="preserve">Quiz </w:t>
            </w:r>
            <w:r>
              <w:rPr>
                <w:color w:val="000000" w:themeColor="text1"/>
                <w:sz w:val="20"/>
                <w:szCs w:val="20"/>
              </w:rPr>
              <w:t>2</w:t>
            </w:r>
            <w:r w:rsidR="005F0198">
              <w:rPr>
                <w:color w:val="000000" w:themeColor="text1"/>
                <w:sz w:val="20"/>
                <w:szCs w:val="20"/>
              </w:rPr>
              <w:t>; Memory Quiz</w:t>
            </w:r>
          </w:p>
        </w:tc>
      </w:tr>
      <w:tr w:rsidR="00C50793" w:rsidRPr="00A4318D" w14:paraId="14E40B7C" w14:textId="77777777" w:rsidTr="000B07F3">
        <w:trPr>
          <w:trHeight w:val="276"/>
        </w:trPr>
        <w:tc>
          <w:tcPr>
            <w:tcW w:w="895" w:type="dxa"/>
          </w:tcPr>
          <w:p w14:paraId="7EC05FD6" w14:textId="106E222B" w:rsidR="00C50793" w:rsidRPr="00BA3F80" w:rsidRDefault="00C50793" w:rsidP="00C50793">
            <w:pPr>
              <w:pStyle w:val="NoSpacing"/>
              <w:rPr>
                <w:color w:val="000000" w:themeColor="text1"/>
                <w:sz w:val="20"/>
                <w:szCs w:val="20"/>
              </w:rPr>
            </w:pPr>
            <w:r>
              <w:rPr>
                <w:color w:val="000000" w:themeColor="text1"/>
                <w:sz w:val="20"/>
                <w:szCs w:val="20"/>
              </w:rPr>
              <w:t>Feb 3</w:t>
            </w:r>
          </w:p>
        </w:tc>
        <w:tc>
          <w:tcPr>
            <w:tcW w:w="3240" w:type="dxa"/>
          </w:tcPr>
          <w:p w14:paraId="18C50855" w14:textId="2BB2CA3B" w:rsidR="00C50793" w:rsidRPr="00BA3F80" w:rsidRDefault="00DB061E" w:rsidP="00C50793">
            <w:pPr>
              <w:pStyle w:val="NoSpacing"/>
              <w:rPr>
                <w:color w:val="000000" w:themeColor="text1"/>
                <w:sz w:val="20"/>
                <w:szCs w:val="20"/>
              </w:rPr>
            </w:pPr>
            <w:r>
              <w:rPr>
                <w:color w:val="000000" w:themeColor="text1"/>
                <w:sz w:val="20"/>
                <w:szCs w:val="20"/>
              </w:rPr>
              <w:t>Kingdom of God; Christian Baptism</w:t>
            </w:r>
          </w:p>
        </w:tc>
        <w:tc>
          <w:tcPr>
            <w:tcW w:w="1440" w:type="dxa"/>
          </w:tcPr>
          <w:p w14:paraId="59DD761A" w14:textId="370F31F5" w:rsidR="00C50793" w:rsidRPr="00BA3F80" w:rsidRDefault="00C50793" w:rsidP="00C50793">
            <w:pPr>
              <w:pStyle w:val="NoSpacing"/>
              <w:rPr>
                <w:color w:val="000000" w:themeColor="text1"/>
                <w:sz w:val="20"/>
                <w:szCs w:val="20"/>
              </w:rPr>
            </w:pPr>
            <w:r>
              <w:rPr>
                <w:color w:val="000000" w:themeColor="text1"/>
                <w:sz w:val="20"/>
                <w:szCs w:val="20"/>
              </w:rPr>
              <w:t>Acts 7-9</w:t>
            </w:r>
          </w:p>
        </w:tc>
        <w:tc>
          <w:tcPr>
            <w:tcW w:w="1985" w:type="dxa"/>
          </w:tcPr>
          <w:p w14:paraId="20089964" w14:textId="1DDDD478" w:rsidR="00C50793" w:rsidRPr="00BA3F80" w:rsidRDefault="00C50793" w:rsidP="00C50793">
            <w:pPr>
              <w:pStyle w:val="NoSpacing"/>
              <w:rPr>
                <w:color w:val="000000" w:themeColor="text1"/>
                <w:sz w:val="20"/>
                <w:szCs w:val="20"/>
              </w:rPr>
            </w:pPr>
            <w:r w:rsidRPr="00A304AC">
              <w:rPr>
                <w:color w:val="000000" w:themeColor="text1"/>
                <w:sz w:val="20"/>
                <w:szCs w:val="20"/>
              </w:rPr>
              <w:t xml:space="preserve">Coleman, </w:t>
            </w:r>
            <w:proofErr w:type="spellStart"/>
            <w:r>
              <w:rPr>
                <w:color w:val="000000" w:themeColor="text1"/>
                <w:sz w:val="20"/>
                <w:szCs w:val="20"/>
              </w:rPr>
              <w:t>Chpt</w:t>
            </w:r>
            <w:proofErr w:type="spellEnd"/>
            <w:r>
              <w:rPr>
                <w:color w:val="000000" w:themeColor="text1"/>
                <w:sz w:val="20"/>
                <w:szCs w:val="20"/>
              </w:rPr>
              <w:t xml:space="preserve"> 2</w:t>
            </w:r>
          </w:p>
        </w:tc>
        <w:tc>
          <w:tcPr>
            <w:tcW w:w="1891" w:type="dxa"/>
          </w:tcPr>
          <w:p w14:paraId="38E06DE0" w14:textId="677B6730" w:rsidR="00C50793" w:rsidRPr="00BA3F80" w:rsidRDefault="00C50793" w:rsidP="00C50793">
            <w:pPr>
              <w:pStyle w:val="NoSpacing"/>
              <w:rPr>
                <w:color w:val="000000" w:themeColor="text1"/>
                <w:sz w:val="20"/>
                <w:szCs w:val="20"/>
              </w:rPr>
            </w:pPr>
            <w:r w:rsidRPr="00EB732E">
              <w:rPr>
                <w:color w:val="000000" w:themeColor="text1"/>
                <w:sz w:val="20"/>
                <w:szCs w:val="20"/>
              </w:rPr>
              <w:t xml:space="preserve">Quiz </w:t>
            </w:r>
            <w:proofErr w:type="gramStart"/>
            <w:r>
              <w:rPr>
                <w:color w:val="000000" w:themeColor="text1"/>
                <w:sz w:val="20"/>
                <w:szCs w:val="20"/>
              </w:rPr>
              <w:t>3;  Essay</w:t>
            </w:r>
            <w:proofErr w:type="gramEnd"/>
            <w:r>
              <w:rPr>
                <w:color w:val="000000" w:themeColor="text1"/>
                <w:sz w:val="20"/>
                <w:szCs w:val="20"/>
              </w:rPr>
              <w:t xml:space="preserve"> 1</w:t>
            </w:r>
          </w:p>
        </w:tc>
      </w:tr>
      <w:tr w:rsidR="00C50793" w:rsidRPr="00A4318D" w14:paraId="20F3F09A" w14:textId="77777777" w:rsidTr="000B07F3">
        <w:trPr>
          <w:trHeight w:val="261"/>
        </w:trPr>
        <w:tc>
          <w:tcPr>
            <w:tcW w:w="895" w:type="dxa"/>
          </w:tcPr>
          <w:p w14:paraId="0B99571C" w14:textId="18C92794" w:rsidR="00C50793" w:rsidRPr="00BA3F80" w:rsidRDefault="00C50793" w:rsidP="00C50793">
            <w:pPr>
              <w:pStyle w:val="NoSpacing"/>
              <w:rPr>
                <w:color w:val="000000" w:themeColor="text1"/>
                <w:sz w:val="20"/>
                <w:szCs w:val="20"/>
              </w:rPr>
            </w:pPr>
            <w:r>
              <w:rPr>
                <w:color w:val="000000" w:themeColor="text1"/>
                <w:sz w:val="20"/>
                <w:szCs w:val="20"/>
              </w:rPr>
              <w:t>Feb 10</w:t>
            </w:r>
          </w:p>
        </w:tc>
        <w:tc>
          <w:tcPr>
            <w:tcW w:w="3240" w:type="dxa"/>
          </w:tcPr>
          <w:p w14:paraId="14AF9674" w14:textId="2DDF48C3" w:rsidR="00C50793" w:rsidRPr="00BA3F80" w:rsidRDefault="00DB061E" w:rsidP="00C50793">
            <w:pPr>
              <w:pStyle w:val="NoSpacing"/>
              <w:rPr>
                <w:color w:val="000000" w:themeColor="text1"/>
                <w:sz w:val="20"/>
                <w:szCs w:val="20"/>
              </w:rPr>
            </w:pPr>
            <w:r>
              <w:rPr>
                <w:color w:val="000000" w:themeColor="text1"/>
                <w:sz w:val="20"/>
                <w:szCs w:val="20"/>
              </w:rPr>
              <w:t xml:space="preserve">The Impartiality of </w:t>
            </w:r>
            <w:proofErr w:type="gramStart"/>
            <w:r>
              <w:rPr>
                <w:color w:val="000000" w:themeColor="text1"/>
                <w:sz w:val="20"/>
                <w:szCs w:val="20"/>
              </w:rPr>
              <w:t>God;  the</w:t>
            </w:r>
            <w:proofErr w:type="gramEnd"/>
            <w:r>
              <w:rPr>
                <w:color w:val="000000" w:themeColor="text1"/>
                <w:sz w:val="20"/>
                <w:szCs w:val="20"/>
              </w:rPr>
              <w:t xml:space="preserve"> Jewish world of Acts</w:t>
            </w:r>
          </w:p>
        </w:tc>
        <w:tc>
          <w:tcPr>
            <w:tcW w:w="1440" w:type="dxa"/>
          </w:tcPr>
          <w:p w14:paraId="2F2BAC58" w14:textId="0DA374DF" w:rsidR="00C50793" w:rsidRPr="00BA3F80" w:rsidRDefault="00C50793" w:rsidP="00C50793">
            <w:pPr>
              <w:pStyle w:val="NoSpacing"/>
              <w:rPr>
                <w:color w:val="000000" w:themeColor="text1"/>
                <w:sz w:val="20"/>
                <w:szCs w:val="20"/>
              </w:rPr>
            </w:pPr>
            <w:r>
              <w:rPr>
                <w:color w:val="000000" w:themeColor="text1"/>
                <w:sz w:val="20"/>
                <w:szCs w:val="20"/>
              </w:rPr>
              <w:t>Acts 10-12</w:t>
            </w:r>
          </w:p>
        </w:tc>
        <w:tc>
          <w:tcPr>
            <w:tcW w:w="1985" w:type="dxa"/>
          </w:tcPr>
          <w:p w14:paraId="397F7B65" w14:textId="390226DC" w:rsidR="00C50793" w:rsidRPr="00BA3F80" w:rsidRDefault="00C50793" w:rsidP="00C50793">
            <w:pPr>
              <w:pStyle w:val="NoSpacing"/>
              <w:rPr>
                <w:color w:val="000000" w:themeColor="text1"/>
                <w:sz w:val="20"/>
                <w:szCs w:val="20"/>
              </w:rPr>
            </w:pPr>
            <w:r w:rsidRPr="00A304AC">
              <w:rPr>
                <w:color w:val="000000" w:themeColor="text1"/>
                <w:sz w:val="20"/>
                <w:szCs w:val="20"/>
              </w:rPr>
              <w:t xml:space="preserve">Coleman, </w:t>
            </w:r>
            <w:proofErr w:type="spellStart"/>
            <w:r>
              <w:rPr>
                <w:color w:val="000000" w:themeColor="text1"/>
                <w:sz w:val="20"/>
                <w:szCs w:val="20"/>
              </w:rPr>
              <w:t>Chpt</w:t>
            </w:r>
            <w:proofErr w:type="spellEnd"/>
            <w:r>
              <w:rPr>
                <w:color w:val="000000" w:themeColor="text1"/>
                <w:sz w:val="20"/>
                <w:szCs w:val="20"/>
              </w:rPr>
              <w:t xml:space="preserve"> 3</w:t>
            </w:r>
          </w:p>
        </w:tc>
        <w:tc>
          <w:tcPr>
            <w:tcW w:w="1891" w:type="dxa"/>
          </w:tcPr>
          <w:p w14:paraId="6AAD99D8" w14:textId="620F621F" w:rsidR="00C50793" w:rsidRPr="00BA3F80" w:rsidRDefault="00C50793" w:rsidP="00C50793">
            <w:pPr>
              <w:pStyle w:val="NoSpacing"/>
              <w:rPr>
                <w:color w:val="000000" w:themeColor="text1"/>
                <w:sz w:val="20"/>
                <w:szCs w:val="20"/>
              </w:rPr>
            </w:pPr>
            <w:r w:rsidRPr="00EB732E">
              <w:rPr>
                <w:color w:val="000000" w:themeColor="text1"/>
                <w:sz w:val="20"/>
                <w:szCs w:val="20"/>
              </w:rPr>
              <w:t xml:space="preserve">Quiz </w:t>
            </w:r>
            <w:r>
              <w:rPr>
                <w:color w:val="000000" w:themeColor="text1"/>
                <w:sz w:val="20"/>
                <w:szCs w:val="20"/>
              </w:rPr>
              <w:t>4</w:t>
            </w:r>
            <w:r w:rsidR="007816E3">
              <w:rPr>
                <w:color w:val="000000" w:themeColor="text1"/>
                <w:sz w:val="20"/>
                <w:szCs w:val="20"/>
              </w:rPr>
              <w:t xml:space="preserve">; </w:t>
            </w:r>
            <w:r w:rsidR="007816E3">
              <w:rPr>
                <w:color w:val="000000" w:themeColor="text1"/>
                <w:sz w:val="20"/>
                <w:szCs w:val="20"/>
              </w:rPr>
              <w:t>Memory Quiz</w:t>
            </w:r>
          </w:p>
        </w:tc>
      </w:tr>
      <w:tr w:rsidR="00C50793" w:rsidRPr="00A4318D" w14:paraId="725C5EE7" w14:textId="77777777" w:rsidTr="000B07F3">
        <w:trPr>
          <w:trHeight w:val="276"/>
        </w:trPr>
        <w:tc>
          <w:tcPr>
            <w:tcW w:w="895" w:type="dxa"/>
          </w:tcPr>
          <w:p w14:paraId="49620475" w14:textId="5B9067B6" w:rsidR="00C50793" w:rsidRPr="00BA3F80" w:rsidRDefault="00C50793" w:rsidP="00C50793">
            <w:pPr>
              <w:pStyle w:val="NoSpacing"/>
              <w:rPr>
                <w:color w:val="000000" w:themeColor="text1"/>
                <w:sz w:val="20"/>
                <w:szCs w:val="20"/>
              </w:rPr>
            </w:pPr>
            <w:r>
              <w:rPr>
                <w:color w:val="000000" w:themeColor="text1"/>
                <w:sz w:val="20"/>
                <w:szCs w:val="20"/>
              </w:rPr>
              <w:t>Feb 17</w:t>
            </w:r>
          </w:p>
        </w:tc>
        <w:tc>
          <w:tcPr>
            <w:tcW w:w="3240" w:type="dxa"/>
          </w:tcPr>
          <w:p w14:paraId="5051E567" w14:textId="592FCED9" w:rsidR="00C50793" w:rsidRPr="00BA3F80" w:rsidRDefault="00C50793" w:rsidP="00C50793">
            <w:pPr>
              <w:pStyle w:val="NoSpacing"/>
              <w:rPr>
                <w:color w:val="000000" w:themeColor="text1"/>
                <w:sz w:val="20"/>
                <w:szCs w:val="20"/>
              </w:rPr>
            </w:pPr>
            <w:r>
              <w:rPr>
                <w:color w:val="000000" w:themeColor="text1"/>
                <w:sz w:val="20"/>
                <w:szCs w:val="20"/>
              </w:rPr>
              <w:t>No Class</w:t>
            </w:r>
          </w:p>
        </w:tc>
        <w:tc>
          <w:tcPr>
            <w:tcW w:w="1440" w:type="dxa"/>
          </w:tcPr>
          <w:p w14:paraId="0A45F3FF" w14:textId="6F752808" w:rsidR="00C50793" w:rsidRPr="00BA3F80" w:rsidRDefault="00C50793" w:rsidP="00C50793">
            <w:pPr>
              <w:pStyle w:val="NoSpacing"/>
              <w:rPr>
                <w:color w:val="000000" w:themeColor="text1"/>
                <w:sz w:val="20"/>
                <w:szCs w:val="20"/>
              </w:rPr>
            </w:pPr>
          </w:p>
        </w:tc>
        <w:tc>
          <w:tcPr>
            <w:tcW w:w="1985" w:type="dxa"/>
          </w:tcPr>
          <w:p w14:paraId="38AE243A" w14:textId="18DEF659" w:rsidR="00C50793" w:rsidRPr="00BA3F80" w:rsidRDefault="00C50793" w:rsidP="00C50793">
            <w:pPr>
              <w:pStyle w:val="NoSpacing"/>
              <w:rPr>
                <w:color w:val="000000" w:themeColor="text1"/>
                <w:sz w:val="20"/>
                <w:szCs w:val="20"/>
              </w:rPr>
            </w:pPr>
          </w:p>
        </w:tc>
        <w:tc>
          <w:tcPr>
            <w:tcW w:w="1891" w:type="dxa"/>
          </w:tcPr>
          <w:p w14:paraId="2793F64B" w14:textId="4BF39419" w:rsidR="00C50793" w:rsidRPr="00BA3F80" w:rsidRDefault="00C50793" w:rsidP="00C50793">
            <w:pPr>
              <w:pStyle w:val="NoSpacing"/>
              <w:rPr>
                <w:color w:val="000000" w:themeColor="text1"/>
                <w:sz w:val="20"/>
                <w:szCs w:val="20"/>
              </w:rPr>
            </w:pPr>
          </w:p>
        </w:tc>
      </w:tr>
      <w:tr w:rsidR="00C50793" w:rsidRPr="00A4318D" w14:paraId="49357D8B" w14:textId="77777777" w:rsidTr="000B07F3">
        <w:trPr>
          <w:trHeight w:val="261"/>
        </w:trPr>
        <w:tc>
          <w:tcPr>
            <w:tcW w:w="895" w:type="dxa"/>
          </w:tcPr>
          <w:p w14:paraId="5CB1C4F1" w14:textId="153648B7" w:rsidR="00C50793" w:rsidRPr="00BA3F80" w:rsidRDefault="00C50793" w:rsidP="00C50793">
            <w:pPr>
              <w:pStyle w:val="NoSpacing"/>
              <w:rPr>
                <w:color w:val="000000" w:themeColor="text1"/>
                <w:sz w:val="20"/>
                <w:szCs w:val="20"/>
              </w:rPr>
            </w:pPr>
            <w:r>
              <w:rPr>
                <w:color w:val="000000" w:themeColor="text1"/>
                <w:sz w:val="20"/>
                <w:szCs w:val="20"/>
              </w:rPr>
              <w:t>Feb 24</w:t>
            </w:r>
          </w:p>
        </w:tc>
        <w:tc>
          <w:tcPr>
            <w:tcW w:w="3240" w:type="dxa"/>
          </w:tcPr>
          <w:p w14:paraId="065FB8C2" w14:textId="0582070D" w:rsidR="00C50793" w:rsidRPr="00BA3F80" w:rsidRDefault="00DB061E" w:rsidP="00C50793">
            <w:pPr>
              <w:pStyle w:val="NoSpacing"/>
              <w:rPr>
                <w:color w:val="000000" w:themeColor="text1"/>
                <w:sz w:val="20"/>
                <w:szCs w:val="20"/>
              </w:rPr>
            </w:pPr>
            <w:r>
              <w:rPr>
                <w:color w:val="000000" w:themeColor="text1"/>
                <w:sz w:val="20"/>
                <w:szCs w:val="20"/>
              </w:rPr>
              <w:t>Witness and Missions; Theological consensus; the Greek world of Acts</w:t>
            </w:r>
          </w:p>
        </w:tc>
        <w:tc>
          <w:tcPr>
            <w:tcW w:w="1440" w:type="dxa"/>
          </w:tcPr>
          <w:p w14:paraId="1E3FC679" w14:textId="299D6733" w:rsidR="00C50793" w:rsidRPr="00BA3F80" w:rsidRDefault="00C50793" w:rsidP="00C50793">
            <w:pPr>
              <w:pStyle w:val="NoSpacing"/>
              <w:rPr>
                <w:color w:val="000000" w:themeColor="text1"/>
                <w:sz w:val="20"/>
                <w:szCs w:val="20"/>
              </w:rPr>
            </w:pPr>
            <w:r>
              <w:rPr>
                <w:color w:val="000000" w:themeColor="text1"/>
                <w:sz w:val="20"/>
                <w:szCs w:val="20"/>
              </w:rPr>
              <w:t>Acts 13-16</w:t>
            </w:r>
          </w:p>
        </w:tc>
        <w:tc>
          <w:tcPr>
            <w:tcW w:w="1985" w:type="dxa"/>
          </w:tcPr>
          <w:p w14:paraId="1B5426CA" w14:textId="46C51B24" w:rsidR="00C50793" w:rsidRPr="00BA3F80" w:rsidRDefault="00C50793" w:rsidP="00C50793">
            <w:pPr>
              <w:pStyle w:val="NoSpacing"/>
              <w:rPr>
                <w:color w:val="000000" w:themeColor="text1"/>
                <w:sz w:val="20"/>
                <w:szCs w:val="20"/>
              </w:rPr>
            </w:pPr>
            <w:r w:rsidRPr="00A304AC">
              <w:rPr>
                <w:color w:val="000000" w:themeColor="text1"/>
                <w:sz w:val="20"/>
                <w:szCs w:val="20"/>
              </w:rPr>
              <w:t xml:space="preserve">Coleman, </w:t>
            </w:r>
            <w:proofErr w:type="spellStart"/>
            <w:r>
              <w:rPr>
                <w:color w:val="000000" w:themeColor="text1"/>
                <w:sz w:val="20"/>
                <w:szCs w:val="20"/>
              </w:rPr>
              <w:t>Chpt</w:t>
            </w:r>
            <w:proofErr w:type="spellEnd"/>
            <w:r>
              <w:rPr>
                <w:color w:val="000000" w:themeColor="text1"/>
                <w:sz w:val="20"/>
                <w:szCs w:val="20"/>
              </w:rPr>
              <w:t xml:space="preserve"> 4</w:t>
            </w:r>
          </w:p>
        </w:tc>
        <w:tc>
          <w:tcPr>
            <w:tcW w:w="1891" w:type="dxa"/>
          </w:tcPr>
          <w:p w14:paraId="0660C36A" w14:textId="6B67941E" w:rsidR="00C50793" w:rsidRPr="00BA3F80" w:rsidRDefault="00C50793" w:rsidP="00C50793">
            <w:pPr>
              <w:pStyle w:val="NoSpacing"/>
              <w:rPr>
                <w:color w:val="000000" w:themeColor="text1"/>
                <w:sz w:val="20"/>
                <w:szCs w:val="20"/>
              </w:rPr>
            </w:pPr>
            <w:r w:rsidRPr="00EB732E">
              <w:rPr>
                <w:color w:val="000000" w:themeColor="text1"/>
                <w:sz w:val="20"/>
                <w:szCs w:val="20"/>
              </w:rPr>
              <w:t xml:space="preserve">Quiz </w:t>
            </w:r>
            <w:proofErr w:type="gramStart"/>
            <w:r>
              <w:rPr>
                <w:color w:val="000000" w:themeColor="text1"/>
                <w:sz w:val="20"/>
                <w:szCs w:val="20"/>
              </w:rPr>
              <w:t>5;  Essay</w:t>
            </w:r>
            <w:proofErr w:type="gramEnd"/>
            <w:r>
              <w:rPr>
                <w:color w:val="000000" w:themeColor="text1"/>
                <w:sz w:val="20"/>
                <w:szCs w:val="20"/>
              </w:rPr>
              <w:t xml:space="preserve"> 2</w:t>
            </w:r>
          </w:p>
        </w:tc>
      </w:tr>
      <w:tr w:rsidR="00C50793" w:rsidRPr="00A4318D" w14:paraId="519268C6" w14:textId="77777777" w:rsidTr="000B07F3">
        <w:trPr>
          <w:trHeight w:val="261"/>
        </w:trPr>
        <w:tc>
          <w:tcPr>
            <w:tcW w:w="895" w:type="dxa"/>
          </w:tcPr>
          <w:p w14:paraId="241E14A4" w14:textId="2FE5B818" w:rsidR="00C50793" w:rsidRPr="00BA3F80" w:rsidRDefault="00C50793" w:rsidP="00C50793">
            <w:pPr>
              <w:pStyle w:val="NoSpacing"/>
              <w:rPr>
                <w:color w:val="000000" w:themeColor="text1"/>
                <w:sz w:val="20"/>
                <w:szCs w:val="20"/>
              </w:rPr>
            </w:pPr>
            <w:r>
              <w:rPr>
                <w:color w:val="000000" w:themeColor="text1"/>
                <w:sz w:val="20"/>
                <w:szCs w:val="20"/>
              </w:rPr>
              <w:t>Mar 3</w:t>
            </w:r>
          </w:p>
        </w:tc>
        <w:tc>
          <w:tcPr>
            <w:tcW w:w="3240" w:type="dxa"/>
          </w:tcPr>
          <w:p w14:paraId="5A2598FB" w14:textId="05C74067" w:rsidR="00C50793" w:rsidRPr="00BA3F80" w:rsidRDefault="00DB061E" w:rsidP="00C50793">
            <w:pPr>
              <w:pStyle w:val="NoSpacing"/>
              <w:rPr>
                <w:color w:val="000000" w:themeColor="text1"/>
                <w:sz w:val="20"/>
                <w:szCs w:val="20"/>
              </w:rPr>
            </w:pPr>
            <w:r>
              <w:rPr>
                <w:color w:val="000000" w:themeColor="text1"/>
                <w:sz w:val="20"/>
                <w:szCs w:val="20"/>
              </w:rPr>
              <w:t xml:space="preserve">Households of Faith; the continuing </w:t>
            </w:r>
            <w:proofErr w:type="gramStart"/>
            <w:r>
              <w:rPr>
                <w:color w:val="000000" w:themeColor="text1"/>
                <w:sz w:val="20"/>
                <w:szCs w:val="20"/>
              </w:rPr>
              <w:t>mission;  the</w:t>
            </w:r>
            <w:proofErr w:type="gramEnd"/>
            <w:r>
              <w:rPr>
                <w:color w:val="000000" w:themeColor="text1"/>
                <w:sz w:val="20"/>
                <w:szCs w:val="20"/>
              </w:rPr>
              <w:t xml:space="preserve"> Lord’s Supper. Pastoral Ministry</w:t>
            </w:r>
          </w:p>
        </w:tc>
        <w:tc>
          <w:tcPr>
            <w:tcW w:w="1440" w:type="dxa"/>
          </w:tcPr>
          <w:p w14:paraId="6A6D4EFD" w14:textId="10BCE41C" w:rsidR="00C50793" w:rsidRPr="00BA3F80" w:rsidRDefault="00C50793" w:rsidP="00C50793">
            <w:pPr>
              <w:pStyle w:val="NoSpacing"/>
              <w:rPr>
                <w:color w:val="000000" w:themeColor="text1"/>
                <w:sz w:val="20"/>
                <w:szCs w:val="20"/>
              </w:rPr>
            </w:pPr>
            <w:r>
              <w:rPr>
                <w:color w:val="000000" w:themeColor="text1"/>
                <w:sz w:val="20"/>
                <w:szCs w:val="20"/>
              </w:rPr>
              <w:t>Acts 17-20</w:t>
            </w:r>
          </w:p>
        </w:tc>
        <w:tc>
          <w:tcPr>
            <w:tcW w:w="1985" w:type="dxa"/>
          </w:tcPr>
          <w:p w14:paraId="7E7C2A3B" w14:textId="12AF1171" w:rsidR="00C50793" w:rsidRPr="00BA3F80" w:rsidRDefault="00C50793" w:rsidP="00C50793">
            <w:pPr>
              <w:pStyle w:val="NoSpacing"/>
              <w:rPr>
                <w:color w:val="000000" w:themeColor="text1"/>
                <w:sz w:val="20"/>
                <w:szCs w:val="20"/>
              </w:rPr>
            </w:pPr>
            <w:r w:rsidRPr="00A304AC">
              <w:rPr>
                <w:color w:val="000000" w:themeColor="text1"/>
                <w:sz w:val="20"/>
                <w:szCs w:val="20"/>
              </w:rPr>
              <w:t xml:space="preserve">Coleman, </w:t>
            </w:r>
            <w:proofErr w:type="spellStart"/>
            <w:r>
              <w:rPr>
                <w:color w:val="000000" w:themeColor="text1"/>
                <w:sz w:val="20"/>
                <w:szCs w:val="20"/>
              </w:rPr>
              <w:t>Chpt</w:t>
            </w:r>
            <w:proofErr w:type="spellEnd"/>
            <w:r>
              <w:rPr>
                <w:color w:val="000000" w:themeColor="text1"/>
                <w:sz w:val="20"/>
                <w:szCs w:val="20"/>
              </w:rPr>
              <w:t xml:space="preserve"> 5</w:t>
            </w:r>
          </w:p>
        </w:tc>
        <w:tc>
          <w:tcPr>
            <w:tcW w:w="1891" w:type="dxa"/>
          </w:tcPr>
          <w:p w14:paraId="7F0A84B7" w14:textId="762A2D32" w:rsidR="00C50793" w:rsidRPr="00BA3F80" w:rsidRDefault="00C50793" w:rsidP="00C50793">
            <w:pPr>
              <w:pStyle w:val="NoSpacing"/>
              <w:rPr>
                <w:color w:val="000000" w:themeColor="text1"/>
                <w:sz w:val="20"/>
                <w:szCs w:val="20"/>
              </w:rPr>
            </w:pPr>
            <w:r w:rsidRPr="00EB732E">
              <w:rPr>
                <w:color w:val="000000" w:themeColor="text1"/>
                <w:sz w:val="20"/>
                <w:szCs w:val="20"/>
              </w:rPr>
              <w:t xml:space="preserve">Quiz </w:t>
            </w:r>
            <w:r>
              <w:rPr>
                <w:color w:val="000000" w:themeColor="text1"/>
                <w:sz w:val="20"/>
                <w:szCs w:val="20"/>
              </w:rPr>
              <w:t>6</w:t>
            </w:r>
            <w:r w:rsidR="007816E3">
              <w:rPr>
                <w:color w:val="000000" w:themeColor="text1"/>
                <w:sz w:val="20"/>
                <w:szCs w:val="20"/>
              </w:rPr>
              <w:t xml:space="preserve">; </w:t>
            </w:r>
            <w:r w:rsidR="007816E3">
              <w:rPr>
                <w:color w:val="000000" w:themeColor="text1"/>
                <w:sz w:val="20"/>
                <w:szCs w:val="20"/>
              </w:rPr>
              <w:t>Memory Quiz</w:t>
            </w:r>
          </w:p>
        </w:tc>
      </w:tr>
      <w:tr w:rsidR="00C50793" w:rsidRPr="00A4318D" w14:paraId="36442261" w14:textId="77777777" w:rsidTr="000B07F3">
        <w:trPr>
          <w:trHeight w:val="261"/>
        </w:trPr>
        <w:tc>
          <w:tcPr>
            <w:tcW w:w="895" w:type="dxa"/>
          </w:tcPr>
          <w:p w14:paraId="78CA5D5A" w14:textId="13F95B25" w:rsidR="00C50793" w:rsidRPr="00BA3F80" w:rsidRDefault="00C50793" w:rsidP="00C50793">
            <w:pPr>
              <w:pStyle w:val="NoSpacing"/>
              <w:rPr>
                <w:color w:val="000000" w:themeColor="text1"/>
                <w:sz w:val="20"/>
                <w:szCs w:val="20"/>
              </w:rPr>
            </w:pPr>
            <w:r>
              <w:rPr>
                <w:color w:val="000000" w:themeColor="text1"/>
                <w:sz w:val="20"/>
                <w:szCs w:val="20"/>
              </w:rPr>
              <w:t>Mar</w:t>
            </w:r>
            <w:r w:rsidRPr="00BA3F80">
              <w:rPr>
                <w:color w:val="000000" w:themeColor="text1"/>
                <w:sz w:val="20"/>
                <w:szCs w:val="20"/>
              </w:rPr>
              <w:t xml:space="preserve"> </w:t>
            </w:r>
            <w:r>
              <w:rPr>
                <w:color w:val="000000" w:themeColor="text1"/>
                <w:sz w:val="20"/>
                <w:szCs w:val="20"/>
              </w:rPr>
              <w:t>10</w:t>
            </w:r>
          </w:p>
        </w:tc>
        <w:tc>
          <w:tcPr>
            <w:tcW w:w="3240" w:type="dxa"/>
          </w:tcPr>
          <w:p w14:paraId="4248925D" w14:textId="4674DFEE" w:rsidR="00C50793" w:rsidRPr="00BA3F80" w:rsidRDefault="00DB061E" w:rsidP="00C50793">
            <w:pPr>
              <w:pStyle w:val="NoSpacing"/>
              <w:rPr>
                <w:color w:val="000000" w:themeColor="text1"/>
                <w:sz w:val="20"/>
                <w:szCs w:val="20"/>
              </w:rPr>
            </w:pPr>
            <w:r>
              <w:rPr>
                <w:color w:val="000000" w:themeColor="text1"/>
                <w:sz w:val="20"/>
                <w:szCs w:val="20"/>
              </w:rPr>
              <w:t>The Apostle Paul and Roman Custody</w:t>
            </w:r>
          </w:p>
        </w:tc>
        <w:tc>
          <w:tcPr>
            <w:tcW w:w="1440" w:type="dxa"/>
          </w:tcPr>
          <w:p w14:paraId="7C57ABB6" w14:textId="62A8F831" w:rsidR="00C50793" w:rsidRPr="00BA3F80" w:rsidRDefault="00C50793" w:rsidP="00C50793">
            <w:pPr>
              <w:pStyle w:val="NoSpacing"/>
              <w:rPr>
                <w:color w:val="000000" w:themeColor="text1"/>
                <w:sz w:val="20"/>
                <w:szCs w:val="20"/>
              </w:rPr>
            </w:pPr>
            <w:r>
              <w:rPr>
                <w:color w:val="000000" w:themeColor="text1"/>
                <w:sz w:val="20"/>
                <w:szCs w:val="20"/>
              </w:rPr>
              <w:t>Acts 21-23</w:t>
            </w:r>
          </w:p>
        </w:tc>
        <w:tc>
          <w:tcPr>
            <w:tcW w:w="1985" w:type="dxa"/>
          </w:tcPr>
          <w:p w14:paraId="4A636685" w14:textId="613CDBF7" w:rsidR="00C50793" w:rsidRPr="00BA3F80" w:rsidRDefault="00C50793" w:rsidP="00C50793">
            <w:pPr>
              <w:pStyle w:val="NoSpacing"/>
              <w:rPr>
                <w:color w:val="000000" w:themeColor="text1"/>
                <w:sz w:val="20"/>
                <w:szCs w:val="20"/>
              </w:rPr>
            </w:pPr>
            <w:r w:rsidRPr="00A304AC">
              <w:rPr>
                <w:color w:val="000000" w:themeColor="text1"/>
                <w:sz w:val="20"/>
                <w:szCs w:val="20"/>
              </w:rPr>
              <w:t xml:space="preserve">Coleman, </w:t>
            </w:r>
            <w:proofErr w:type="spellStart"/>
            <w:r>
              <w:rPr>
                <w:color w:val="000000" w:themeColor="text1"/>
                <w:sz w:val="20"/>
                <w:szCs w:val="20"/>
              </w:rPr>
              <w:t>Chpt</w:t>
            </w:r>
            <w:proofErr w:type="spellEnd"/>
            <w:r>
              <w:rPr>
                <w:color w:val="000000" w:themeColor="text1"/>
                <w:sz w:val="20"/>
                <w:szCs w:val="20"/>
              </w:rPr>
              <w:t xml:space="preserve"> 6</w:t>
            </w:r>
          </w:p>
        </w:tc>
        <w:tc>
          <w:tcPr>
            <w:tcW w:w="1891" w:type="dxa"/>
          </w:tcPr>
          <w:p w14:paraId="6260CA77" w14:textId="6CBA7E0D" w:rsidR="00C50793" w:rsidRPr="00BA3F80" w:rsidRDefault="00C50793" w:rsidP="00C50793">
            <w:pPr>
              <w:pStyle w:val="NoSpacing"/>
              <w:rPr>
                <w:color w:val="000000" w:themeColor="text1"/>
                <w:sz w:val="20"/>
                <w:szCs w:val="20"/>
              </w:rPr>
            </w:pPr>
            <w:r w:rsidRPr="00EB732E">
              <w:rPr>
                <w:color w:val="000000" w:themeColor="text1"/>
                <w:sz w:val="20"/>
                <w:szCs w:val="20"/>
              </w:rPr>
              <w:t xml:space="preserve">Quiz </w:t>
            </w:r>
            <w:r>
              <w:rPr>
                <w:color w:val="000000" w:themeColor="text1"/>
                <w:sz w:val="20"/>
                <w:szCs w:val="20"/>
              </w:rPr>
              <w:t>7</w:t>
            </w:r>
            <w:r w:rsidR="007816E3">
              <w:rPr>
                <w:color w:val="000000" w:themeColor="text1"/>
                <w:sz w:val="20"/>
                <w:szCs w:val="20"/>
              </w:rPr>
              <w:t xml:space="preserve">; </w:t>
            </w:r>
            <w:r w:rsidR="007816E3">
              <w:rPr>
                <w:color w:val="000000" w:themeColor="text1"/>
                <w:sz w:val="20"/>
                <w:szCs w:val="20"/>
              </w:rPr>
              <w:t>Memory Quiz</w:t>
            </w:r>
          </w:p>
        </w:tc>
      </w:tr>
      <w:tr w:rsidR="00C50793" w:rsidRPr="00A4318D" w14:paraId="0B5A8B07" w14:textId="77777777" w:rsidTr="000B07F3">
        <w:trPr>
          <w:trHeight w:val="261"/>
        </w:trPr>
        <w:tc>
          <w:tcPr>
            <w:tcW w:w="895" w:type="dxa"/>
          </w:tcPr>
          <w:p w14:paraId="6EE7B356" w14:textId="201D2FB2" w:rsidR="00C50793" w:rsidRPr="00BA3F80" w:rsidRDefault="00C50793" w:rsidP="00C50793">
            <w:pPr>
              <w:pStyle w:val="NoSpacing"/>
              <w:rPr>
                <w:color w:val="000000" w:themeColor="text1"/>
                <w:sz w:val="20"/>
                <w:szCs w:val="20"/>
              </w:rPr>
            </w:pPr>
            <w:r>
              <w:rPr>
                <w:color w:val="000000" w:themeColor="text1"/>
                <w:sz w:val="20"/>
                <w:szCs w:val="20"/>
              </w:rPr>
              <w:t>Mar 17</w:t>
            </w:r>
          </w:p>
        </w:tc>
        <w:tc>
          <w:tcPr>
            <w:tcW w:w="3240" w:type="dxa"/>
          </w:tcPr>
          <w:p w14:paraId="2726D2A2" w14:textId="5B61CC16" w:rsidR="00C50793" w:rsidRPr="00BA3F80" w:rsidRDefault="00DB061E" w:rsidP="00C50793">
            <w:pPr>
              <w:pStyle w:val="NoSpacing"/>
              <w:rPr>
                <w:color w:val="000000" w:themeColor="text1"/>
                <w:sz w:val="20"/>
                <w:szCs w:val="20"/>
              </w:rPr>
            </w:pPr>
            <w:r>
              <w:rPr>
                <w:color w:val="000000" w:themeColor="text1"/>
                <w:sz w:val="20"/>
                <w:szCs w:val="20"/>
              </w:rPr>
              <w:t xml:space="preserve">The Apostle Paul the Roman </w:t>
            </w:r>
            <w:proofErr w:type="gramStart"/>
            <w:r>
              <w:rPr>
                <w:color w:val="000000" w:themeColor="text1"/>
                <w:sz w:val="20"/>
                <w:szCs w:val="20"/>
              </w:rPr>
              <w:t>Citizen;  Witnessing</w:t>
            </w:r>
            <w:proofErr w:type="gramEnd"/>
            <w:r>
              <w:rPr>
                <w:color w:val="000000" w:themeColor="text1"/>
                <w:sz w:val="20"/>
                <w:szCs w:val="20"/>
              </w:rPr>
              <w:t xml:space="preserve"> to the end of the earth.</w:t>
            </w:r>
          </w:p>
        </w:tc>
        <w:tc>
          <w:tcPr>
            <w:tcW w:w="1440" w:type="dxa"/>
          </w:tcPr>
          <w:p w14:paraId="176B5A36" w14:textId="237B4573" w:rsidR="00C50793" w:rsidRPr="00BA3F80" w:rsidRDefault="00C50793" w:rsidP="00C50793">
            <w:pPr>
              <w:pStyle w:val="NoSpacing"/>
              <w:rPr>
                <w:color w:val="000000" w:themeColor="text1"/>
                <w:sz w:val="20"/>
                <w:szCs w:val="20"/>
              </w:rPr>
            </w:pPr>
            <w:r>
              <w:rPr>
                <w:color w:val="000000" w:themeColor="text1"/>
                <w:sz w:val="20"/>
                <w:szCs w:val="20"/>
              </w:rPr>
              <w:t>Acts 24-28</w:t>
            </w:r>
          </w:p>
        </w:tc>
        <w:tc>
          <w:tcPr>
            <w:tcW w:w="1985" w:type="dxa"/>
          </w:tcPr>
          <w:p w14:paraId="0C70766E" w14:textId="76CF6A3E" w:rsidR="00C50793" w:rsidRPr="00BA3F80" w:rsidRDefault="00C50793" w:rsidP="00C50793">
            <w:pPr>
              <w:pStyle w:val="NoSpacing"/>
              <w:rPr>
                <w:color w:val="000000" w:themeColor="text1"/>
                <w:sz w:val="20"/>
                <w:szCs w:val="20"/>
              </w:rPr>
            </w:pPr>
            <w:r w:rsidRPr="00A304AC">
              <w:rPr>
                <w:color w:val="000000" w:themeColor="text1"/>
                <w:sz w:val="20"/>
                <w:szCs w:val="20"/>
              </w:rPr>
              <w:t xml:space="preserve">Coleman, </w:t>
            </w:r>
            <w:r>
              <w:rPr>
                <w:color w:val="000000" w:themeColor="text1"/>
                <w:sz w:val="20"/>
                <w:szCs w:val="20"/>
              </w:rPr>
              <w:t>Afterword</w:t>
            </w:r>
          </w:p>
        </w:tc>
        <w:tc>
          <w:tcPr>
            <w:tcW w:w="1891" w:type="dxa"/>
          </w:tcPr>
          <w:p w14:paraId="1CEEAC73" w14:textId="6EC5F96B" w:rsidR="00C50793" w:rsidRPr="00BA3F80" w:rsidRDefault="00C50793" w:rsidP="00C50793">
            <w:pPr>
              <w:pStyle w:val="NoSpacing"/>
              <w:rPr>
                <w:color w:val="000000" w:themeColor="text1"/>
                <w:sz w:val="20"/>
                <w:szCs w:val="20"/>
              </w:rPr>
            </w:pPr>
            <w:r w:rsidRPr="00EB732E">
              <w:rPr>
                <w:color w:val="000000" w:themeColor="text1"/>
                <w:sz w:val="20"/>
                <w:szCs w:val="20"/>
              </w:rPr>
              <w:t xml:space="preserve">Quiz </w:t>
            </w:r>
            <w:proofErr w:type="gramStart"/>
            <w:r>
              <w:rPr>
                <w:color w:val="000000" w:themeColor="text1"/>
                <w:sz w:val="20"/>
                <w:szCs w:val="20"/>
              </w:rPr>
              <w:t>8;  Essay</w:t>
            </w:r>
            <w:proofErr w:type="gramEnd"/>
            <w:r>
              <w:rPr>
                <w:color w:val="000000" w:themeColor="text1"/>
                <w:sz w:val="20"/>
                <w:szCs w:val="20"/>
              </w:rPr>
              <w:t xml:space="preserve"> 3</w:t>
            </w:r>
          </w:p>
        </w:tc>
      </w:tr>
    </w:tbl>
    <w:p w14:paraId="2B943774" w14:textId="77777777" w:rsidR="008C3DA0" w:rsidRDefault="008C3DA0" w:rsidP="008C3DA0">
      <w:pPr>
        <w:spacing w:after="0"/>
        <w:textAlignment w:val="baseline"/>
        <w:rPr>
          <w:rFonts w:eastAsia="Times New Roman" w:cs="Arial"/>
          <w:b/>
          <w:color w:val="000000"/>
        </w:rPr>
      </w:pPr>
    </w:p>
    <w:p w14:paraId="7020218C" w14:textId="77777777" w:rsidR="008C3DA0" w:rsidRPr="006C0F9C" w:rsidRDefault="008C3DA0" w:rsidP="008C3DA0">
      <w:pPr>
        <w:spacing w:after="0" w:line="240" w:lineRule="auto"/>
        <w:contextualSpacing/>
        <w:textAlignment w:val="baseline"/>
        <w:rPr>
          <w:rFonts w:eastAsia="Times New Roman" w:cs="Arial"/>
          <w:b/>
          <w:color w:val="000000"/>
        </w:rPr>
      </w:pPr>
      <w:r w:rsidRPr="006C0F9C">
        <w:rPr>
          <w:rFonts w:eastAsia="Times New Roman" w:cs="Arial"/>
          <w:b/>
          <w:color w:val="000000"/>
        </w:rPr>
        <w:t>Copyright</w:t>
      </w:r>
      <w:r>
        <w:rPr>
          <w:rFonts w:eastAsia="Times New Roman" w:cs="Arial"/>
          <w:b/>
          <w:color w:val="000000"/>
        </w:rPr>
        <w:t>/Fair use</w:t>
      </w:r>
      <w:r w:rsidRPr="006C0F9C">
        <w:rPr>
          <w:rFonts w:eastAsia="Times New Roman" w:cs="Arial"/>
          <w:b/>
          <w:color w:val="000000"/>
        </w:rPr>
        <w:t xml:space="preserve"> notice</w:t>
      </w:r>
    </w:p>
    <w:p w14:paraId="1BB3F1D8" w14:textId="77777777" w:rsidR="008C3DA0" w:rsidRPr="0012546C" w:rsidRDefault="008C3DA0" w:rsidP="008C3DA0">
      <w:pPr>
        <w:spacing w:before="100" w:beforeAutospacing="1" w:after="100" w:afterAutospacing="1" w:line="240" w:lineRule="auto"/>
        <w:contextualSpacing/>
        <w:jc w:val="both"/>
        <w:rPr>
          <w:sz w:val="18"/>
          <w:szCs w:val="18"/>
        </w:rPr>
      </w:pPr>
      <w:r w:rsidRPr="0012546C">
        <w:rPr>
          <w:rFonts w:cstheme="minorHAnsi"/>
          <w:color w:val="222222"/>
          <w:sz w:val="18"/>
          <w:szCs w:val="18"/>
          <w:shd w:val="clear" w:color="auto" w:fill="FFFFFF"/>
        </w:rPr>
        <w:t>Copyright © 2021. Course materials provided or made available to students in class, online or via email are the property of Oklahoma Christian University, the instructor and other copyright holders and are made available for the sole use of students enrolled in this class during the semester in which the student is enrolled. Students may keep one copy (print or digital) for personal use only and may not distribute the materials in any media format to any person without the express permission of the Oklahoma Christian University and the instructor. Original materials posted and authored by students may not be distributed under any circumstances</w:t>
      </w:r>
      <w:proofErr w:type="gramStart"/>
      <w:r w:rsidRPr="0012546C">
        <w:rPr>
          <w:rFonts w:cstheme="minorHAnsi"/>
          <w:color w:val="222222"/>
          <w:sz w:val="18"/>
          <w:szCs w:val="18"/>
          <w:shd w:val="clear" w:color="auto" w:fill="FFFFFF"/>
        </w:rPr>
        <w:t>.  </w:t>
      </w:r>
      <w:proofErr w:type="gramEnd"/>
    </w:p>
    <w:p w14:paraId="759CD94B" w14:textId="77777777" w:rsidR="00285FFE" w:rsidRDefault="00285FFE"/>
    <w:sectPr w:rsidR="00285FFE" w:rsidSect="00522C87">
      <w:footerReference w:type="default" r:id="rId10"/>
      <w:head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E94B" w14:textId="77777777" w:rsidR="00DB061E" w:rsidRDefault="00DB061E" w:rsidP="00DB061E">
      <w:pPr>
        <w:spacing w:after="0" w:line="240" w:lineRule="auto"/>
      </w:pPr>
      <w:r>
        <w:separator/>
      </w:r>
    </w:p>
  </w:endnote>
  <w:endnote w:type="continuationSeparator" w:id="0">
    <w:p w14:paraId="3AA37A0A" w14:textId="77777777" w:rsidR="00DB061E" w:rsidRDefault="00DB061E" w:rsidP="00DB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84"/>
      <w:docPartObj>
        <w:docPartGallery w:val="Page Numbers (Bottom of Page)"/>
        <w:docPartUnique/>
      </w:docPartObj>
    </w:sdtPr>
    <w:sdtEndPr/>
    <w:sdtContent>
      <w:sdt>
        <w:sdtPr>
          <w:id w:val="565050523"/>
          <w:docPartObj>
            <w:docPartGallery w:val="Page Numbers (Top of Page)"/>
            <w:docPartUnique/>
          </w:docPartObj>
        </w:sdtPr>
        <w:sdtEndPr/>
        <w:sdtContent>
          <w:p w14:paraId="5EDCAA95" w14:textId="54F74C59" w:rsidR="004018D9" w:rsidRPr="00221E48" w:rsidRDefault="000B07F3">
            <w:pPr>
              <w:pStyle w:val="Footer"/>
              <w:jc w:val="right"/>
            </w:pPr>
            <w:r w:rsidRPr="00221E48">
              <w:t xml:space="preserve">Page </w:t>
            </w:r>
            <w:r w:rsidRPr="00221E48">
              <w:rPr>
                <w:b/>
              </w:rPr>
              <w:fldChar w:fldCharType="begin"/>
            </w:r>
            <w:r w:rsidRPr="00221E48">
              <w:rPr>
                <w:b/>
              </w:rPr>
              <w:instrText xml:space="preserve"> PAGE </w:instrText>
            </w:r>
            <w:r w:rsidRPr="00221E48">
              <w:rPr>
                <w:b/>
              </w:rPr>
              <w:fldChar w:fldCharType="separate"/>
            </w:r>
            <w:r>
              <w:rPr>
                <w:b/>
                <w:noProof/>
              </w:rPr>
              <w:t>16</w:t>
            </w:r>
            <w:r w:rsidRPr="00221E48">
              <w:rPr>
                <w:b/>
              </w:rPr>
              <w:fldChar w:fldCharType="end"/>
            </w:r>
            <w:r w:rsidRPr="00221E48">
              <w:t xml:space="preserve"> of </w:t>
            </w:r>
            <w:r w:rsidRPr="00221E48">
              <w:rPr>
                <w:b/>
              </w:rPr>
              <w:fldChar w:fldCharType="begin"/>
            </w:r>
            <w:r w:rsidRPr="00221E48">
              <w:rPr>
                <w:b/>
              </w:rPr>
              <w:instrText xml:space="preserve"> NUMPAGES  </w:instrText>
            </w:r>
            <w:r w:rsidRPr="00221E48">
              <w:rPr>
                <w:b/>
              </w:rPr>
              <w:fldChar w:fldCharType="separate"/>
            </w:r>
            <w:r>
              <w:rPr>
                <w:b/>
                <w:noProof/>
              </w:rPr>
              <w:t>17</w:t>
            </w:r>
            <w:r w:rsidRPr="00221E48">
              <w:rPr>
                <w:b/>
              </w:rPr>
              <w:fldChar w:fldCharType="end"/>
            </w:r>
            <w:r w:rsidRPr="00221E48">
              <w:rPr>
                <w:b/>
              </w:rPr>
              <w:t xml:space="preserve"> </w:t>
            </w:r>
            <w:r w:rsidRPr="00221E48">
              <w:t>|</w:t>
            </w:r>
            <w:r w:rsidRPr="00221E48">
              <w:rPr>
                <w:b/>
              </w:rPr>
              <w:t xml:space="preserve"> </w:t>
            </w:r>
            <w:r w:rsidR="00DB061E">
              <w:t>Nov</w:t>
            </w:r>
            <w:r>
              <w:t xml:space="preserve"> </w:t>
            </w:r>
            <w:r>
              <w:t>2021</w:t>
            </w:r>
          </w:p>
        </w:sdtContent>
      </w:sdt>
    </w:sdtContent>
  </w:sdt>
  <w:p w14:paraId="5288F4FD" w14:textId="77777777" w:rsidR="004018D9" w:rsidRDefault="000B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C684" w14:textId="77777777" w:rsidR="00DB061E" w:rsidRDefault="00DB061E" w:rsidP="00DB061E">
      <w:pPr>
        <w:spacing w:after="0" w:line="240" w:lineRule="auto"/>
      </w:pPr>
      <w:r>
        <w:separator/>
      </w:r>
    </w:p>
  </w:footnote>
  <w:footnote w:type="continuationSeparator" w:id="0">
    <w:p w14:paraId="237D6F7D" w14:textId="77777777" w:rsidR="00DB061E" w:rsidRDefault="00DB061E" w:rsidP="00DB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C544" w14:textId="77777777" w:rsidR="004018D9" w:rsidRDefault="000B07F3" w:rsidP="00EC4296">
    <w:pPr>
      <w:pStyle w:val="Header"/>
    </w:pPr>
    <w:r>
      <w:rPr>
        <w:b/>
        <w:bCs/>
        <w:noProof/>
        <w:sz w:val="32"/>
        <w:szCs w:val="32"/>
      </w:rPr>
      <w:drawing>
        <wp:inline distT="0" distB="0" distL="0" distR="0" wp14:anchorId="11C55DF8" wp14:editId="5BB2A033">
          <wp:extent cx="1928321" cy="110363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 cstate="print">
                    <a:extLst>
                      <a:ext uri="{28A0092B-C50C-407E-A947-70E740481C1C}">
                        <a14:useLocalDpi xmlns:a14="http://schemas.microsoft.com/office/drawing/2010/main" val="0"/>
                      </a:ext>
                    </a:extLst>
                  </a:blip>
                  <a:srcRect l="14285" t="29762" r="14732" b="29613"/>
                  <a:stretch/>
                </pic:blipFill>
                <pic:spPr bwMode="auto">
                  <a:xfrm>
                    <a:off x="0" y="0"/>
                    <a:ext cx="1946509" cy="111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59264" behindDoc="1" locked="0" layoutInCell="1" allowOverlap="1" wp14:anchorId="6EB8ABB3" wp14:editId="3D9FF6CD">
          <wp:simplePos x="0" y="0"/>
          <wp:positionH relativeFrom="column">
            <wp:posOffset>-1298439</wp:posOffset>
          </wp:positionH>
          <wp:positionV relativeFrom="paragraph">
            <wp:posOffset>-501650</wp:posOffset>
          </wp:positionV>
          <wp:extent cx="8686800" cy="1533190"/>
          <wp:effectExtent l="0" t="0" r="0" b="0"/>
          <wp:wrapTight wrapText="bothSides">
            <wp:wrapPolygon edited="0">
              <wp:start x="17716" y="5637"/>
              <wp:lineTo x="1847" y="6442"/>
              <wp:lineTo x="1847" y="14764"/>
              <wp:lineTo x="17716" y="15569"/>
              <wp:lineTo x="19705" y="15569"/>
              <wp:lineTo x="19658" y="12885"/>
              <wp:lineTo x="19421" y="10469"/>
              <wp:lineTo x="19753" y="7516"/>
              <wp:lineTo x="19705" y="5637"/>
              <wp:lineTo x="17716" y="56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0" cy="1533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98A"/>
    <w:multiLevelType w:val="hybridMultilevel"/>
    <w:tmpl w:val="06680CAE"/>
    <w:lvl w:ilvl="0" w:tplc="3D1A97CE">
      <w:start w:val="1"/>
      <w:numFmt w:val="upperRoman"/>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D067A"/>
    <w:multiLevelType w:val="hybridMultilevel"/>
    <w:tmpl w:val="C3A2A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B66A9"/>
    <w:multiLevelType w:val="multilevel"/>
    <w:tmpl w:val="77F8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44DE5"/>
    <w:multiLevelType w:val="hybridMultilevel"/>
    <w:tmpl w:val="36803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8F6103"/>
    <w:multiLevelType w:val="hybridMultilevel"/>
    <w:tmpl w:val="1312DC08"/>
    <w:lvl w:ilvl="0" w:tplc="6324E6F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EE44FD"/>
    <w:multiLevelType w:val="hybridMultilevel"/>
    <w:tmpl w:val="A58A1C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57335"/>
    <w:multiLevelType w:val="hybridMultilevel"/>
    <w:tmpl w:val="D274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E1C80"/>
    <w:multiLevelType w:val="hybridMultilevel"/>
    <w:tmpl w:val="CEDC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A0"/>
    <w:rsid w:val="00021E98"/>
    <w:rsid w:val="000B07F3"/>
    <w:rsid w:val="0018282C"/>
    <w:rsid w:val="00285FFE"/>
    <w:rsid w:val="00361DFE"/>
    <w:rsid w:val="00531201"/>
    <w:rsid w:val="00592BF7"/>
    <w:rsid w:val="005F0198"/>
    <w:rsid w:val="007816E3"/>
    <w:rsid w:val="007D63F5"/>
    <w:rsid w:val="008C3DA0"/>
    <w:rsid w:val="009608DC"/>
    <w:rsid w:val="00A0315F"/>
    <w:rsid w:val="00AC7E4B"/>
    <w:rsid w:val="00BC1063"/>
    <w:rsid w:val="00C50793"/>
    <w:rsid w:val="00CE5C4B"/>
    <w:rsid w:val="00DB061E"/>
    <w:rsid w:val="00E115F6"/>
    <w:rsid w:val="00EA5AC0"/>
    <w:rsid w:val="00EC4640"/>
    <w:rsid w:val="00FB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DF0C"/>
  <w15:chartTrackingRefBased/>
  <w15:docId w15:val="{B29E2953-7882-4F32-AC9C-E4320C4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3DA0"/>
    <w:rPr>
      <w:color w:val="0000FF"/>
      <w:u w:val="single"/>
    </w:rPr>
  </w:style>
  <w:style w:type="paragraph" w:styleId="Header">
    <w:name w:val="header"/>
    <w:basedOn w:val="Normal"/>
    <w:link w:val="HeaderChar"/>
    <w:uiPriority w:val="99"/>
    <w:unhideWhenUsed/>
    <w:rsid w:val="008C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A0"/>
    <w:rPr>
      <w:rFonts w:eastAsiaTheme="minorEastAsia"/>
    </w:rPr>
  </w:style>
  <w:style w:type="paragraph" w:styleId="Footer">
    <w:name w:val="footer"/>
    <w:basedOn w:val="Normal"/>
    <w:link w:val="FooterChar"/>
    <w:uiPriority w:val="99"/>
    <w:unhideWhenUsed/>
    <w:rsid w:val="008C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A0"/>
    <w:rPr>
      <w:rFonts w:eastAsiaTheme="minorEastAsia"/>
    </w:rPr>
  </w:style>
  <w:style w:type="table" w:styleId="TableGrid">
    <w:name w:val="Table Grid"/>
    <w:basedOn w:val="TableNormal"/>
    <w:uiPriority w:val="59"/>
    <w:rsid w:val="008C3D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DA0"/>
    <w:pPr>
      <w:ind w:left="720"/>
      <w:contextualSpacing/>
    </w:pPr>
  </w:style>
  <w:style w:type="character" w:styleId="Emphasis">
    <w:name w:val="Emphasis"/>
    <w:basedOn w:val="DefaultParagraphFont"/>
    <w:uiPriority w:val="20"/>
    <w:qFormat/>
    <w:rsid w:val="008C3DA0"/>
    <w:rPr>
      <w:i/>
      <w:iCs/>
    </w:rPr>
  </w:style>
  <w:style w:type="paragraph" w:styleId="NoSpacing">
    <w:name w:val="No Spacing"/>
    <w:uiPriority w:val="1"/>
    <w:qFormat/>
    <w:rsid w:val="008C3DA0"/>
    <w:pPr>
      <w:spacing w:after="0" w:line="240" w:lineRule="auto"/>
    </w:pPr>
    <w:rPr>
      <w:rFonts w:eastAsiaTheme="minorEastAsia"/>
    </w:rPr>
  </w:style>
  <w:style w:type="paragraph" w:styleId="BodyText2">
    <w:name w:val="Body Text 2"/>
    <w:basedOn w:val="Normal"/>
    <w:link w:val="BodyText2Char"/>
    <w:rsid w:val="008C3DA0"/>
    <w:pPr>
      <w:spacing w:after="12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8C3DA0"/>
    <w:rPr>
      <w:rFonts w:ascii="Times New Roman" w:eastAsia="Times New Roman" w:hAnsi="Times New Roman" w:cs="Times New Roman"/>
      <w:szCs w:val="20"/>
    </w:rPr>
  </w:style>
  <w:style w:type="paragraph" w:styleId="BodyText">
    <w:name w:val="Body Text"/>
    <w:basedOn w:val="Normal"/>
    <w:link w:val="BodyTextChar"/>
    <w:rsid w:val="008C3DA0"/>
    <w:pPr>
      <w:spacing w:after="0" w:line="240" w:lineRule="auto"/>
      <w:ind w:right="-7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C3DA0"/>
    <w:rPr>
      <w:rFonts w:ascii="Times New Roman" w:eastAsia="Times New Roman" w:hAnsi="Times New Roman" w:cs="Times New Roman"/>
      <w:szCs w:val="24"/>
    </w:rPr>
  </w:style>
  <w:style w:type="character" w:customStyle="1" w:styleId="a-list-item">
    <w:name w:val="a-list-item"/>
    <w:basedOn w:val="DefaultParagraphFont"/>
    <w:rsid w:val="00EA5AC0"/>
  </w:style>
  <w:style w:type="character" w:customStyle="1" w:styleId="a-text-bold">
    <w:name w:val="a-text-bold"/>
    <w:basedOn w:val="DefaultParagraphFont"/>
    <w:rsid w:val="00EA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c.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Williamson</dc:creator>
  <cp:keywords/>
  <dc:description/>
  <cp:lastModifiedBy>Darren Williamson</cp:lastModifiedBy>
  <cp:revision>10</cp:revision>
  <cp:lastPrinted>2021-11-30T17:53:00Z</cp:lastPrinted>
  <dcterms:created xsi:type="dcterms:W3CDTF">2021-11-30T16:53:00Z</dcterms:created>
  <dcterms:modified xsi:type="dcterms:W3CDTF">2021-11-30T19:37:00Z</dcterms:modified>
</cp:coreProperties>
</file>